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76C" w:rsidRDefault="008E076C" w:rsidP="007D1E76">
      <w:pPr>
        <w:spacing w:after="0" w:line="240" w:lineRule="auto"/>
        <w:jc w:val="center"/>
        <w:rPr>
          <w:rFonts w:ascii="Times New Roman" w:hAnsi="Times New Roman"/>
          <w:b/>
          <w:sz w:val="28"/>
          <w:szCs w:val="28"/>
        </w:rPr>
      </w:pPr>
    </w:p>
    <w:p w:rsidR="007D1E76" w:rsidRPr="005337B9" w:rsidRDefault="00EE62D8" w:rsidP="007D1E76">
      <w:pPr>
        <w:spacing w:after="0" w:line="240" w:lineRule="auto"/>
        <w:jc w:val="center"/>
        <w:rPr>
          <w:rStyle w:val="Hipervnculo"/>
          <w:rFonts w:ascii="Times New Roman" w:hAnsi="Times New Roman"/>
          <w:b/>
          <w:color w:val="auto"/>
          <w:sz w:val="28"/>
          <w:szCs w:val="28"/>
          <w:u w:val="none"/>
        </w:rPr>
      </w:pPr>
      <w:hyperlink r:id="rId8" w:history="1">
        <w:r w:rsidR="007D1E76" w:rsidRPr="005337B9">
          <w:rPr>
            <w:rStyle w:val="Hipervnculo"/>
            <w:rFonts w:ascii="Times New Roman" w:hAnsi="Times New Roman"/>
            <w:b/>
            <w:color w:val="auto"/>
            <w:sz w:val="28"/>
            <w:szCs w:val="28"/>
            <w:u w:val="none"/>
          </w:rPr>
          <w:t>NOTAS DE GESTIÓN ADMINISTRATIVA</w:t>
        </w:r>
      </w:hyperlink>
    </w:p>
    <w:p w:rsidR="005337B9" w:rsidRPr="005337B9" w:rsidRDefault="005337B9" w:rsidP="007D1E76">
      <w:pPr>
        <w:spacing w:after="0" w:line="240" w:lineRule="auto"/>
        <w:jc w:val="center"/>
        <w:rPr>
          <w:rFonts w:ascii="Times New Roman" w:hAnsi="Times New Roman"/>
          <w:b/>
          <w:sz w:val="28"/>
          <w:szCs w:val="28"/>
        </w:rPr>
      </w:pPr>
      <w:r w:rsidRPr="005337B9">
        <w:rPr>
          <w:rStyle w:val="Hipervnculo"/>
          <w:rFonts w:ascii="Times New Roman" w:hAnsi="Times New Roman"/>
          <w:b/>
          <w:color w:val="auto"/>
          <w:sz w:val="28"/>
          <w:szCs w:val="28"/>
          <w:u w:val="none"/>
        </w:rPr>
        <w:t>Del 01 de enero al 3</w:t>
      </w:r>
      <w:r w:rsidR="00CC45CE">
        <w:rPr>
          <w:rStyle w:val="Hipervnculo"/>
          <w:rFonts w:ascii="Times New Roman" w:hAnsi="Times New Roman"/>
          <w:b/>
          <w:color w:val="auto"/>
          <w:sz w:val="28"/>
          <w:szCs w:val="28"/>
          <w:u w:val="none"/>
        </w:rPr>
        <w:t>1</w:t>
      </w:r>
      <w:r w:rsidRPr="005337B9">
        <w:rPr>
          <w:rStyle w:val="Hipervnculo"/>
          <w:rFonts w:ascii="Times New Roman" w:hAnsi="Times New Roman"/>
          <w:b/>
          <w:color w:val="auto"/>
          <w:sz w:val="28"/>
          <w:szCs w:val="28"/>
          <w:u w:val="none"/>
        </w:rPr>
        <w:t xml:space="preserve"> de </w:t>
      </w:r>
      <w:r w:rsidR="00CC45CE">
        <w:rPr>
          <w:rStyle w:val="Hipervnculo"/>
          <w:rFonts w:ascii="Times New Roman" w:hAnsi="Times New Roman"/>
          <w:b/>
          <w:color w:val="auto"/>
          <w:sz w:val="28"/>
          <w:szCs w:val="28"/>
          <w:u w:val="none"/>
        </w:rPr>
        <w:t>diciem</w:t>
      </w:r>
      <w:r w:rsidR="00120122">
        <w:rPr>
          <w:rStyle w:val="Hipervnculo"/>
          <w:rFonts w:ascii="Times New Roman" w:hAnsi="Times New Roman"/>
          <w:b/>
          <w:color w:val="auto"/>
          <w:sz w:val="28"/>
          <w:szCs w:val="28"/>
          <w:u w:val="none"/>
        </w:rPr>
        <w:t>bre</w:t>
      </w:r>
      <w:r w:rsidRPr="005337B9">
        <w:rPr>
          <w:rStyle w:val="Hipervnculo"/>
          <w:rFonts w:ascii="Times New Roman" w:hAnsi="Times New Roman"/>
          <w:b/>
          <w:color w:val="auto"/>
          <w:sz w:val="28"/>
          <w:szCs w:val="28"/>
          <w:u w:val="none"/>
        </w:rPr>
        <w:t xml:space="preserve"> de 2020</w:t>
      </w:r>
    </w:p>
    <w:p w:rsidR="007D1E76" w:rsidRPr="000B7810" w:rsidRDefault="007D1E76" w:rsidP="007D1E76">
      <w:pPr>
        <w:spacing w:after="0" w:line="240" w:lineRule="auto"/>
        <w:jc w:val="both"/>
        <w:rPr>
          <w:rFonts w:ascii="Times New Roman" w:hAnsi="Times New Roman"/>
          <w:b/>
          <w:sz w:val="24"/>
          <w:szCs w:val="20"/>
        </w:rPr>
      </w:pPr>
    </w:p>
    <w:p w:rsidR="007D1E76" w:rsidRPr="000B7810" w:rsidRDefault="007D1E76" w:rsidP="007D1E76">
      <w:pPr>
        <w:spacing w:after="0" w:line="240" w:lineRule="auto"/>
        <w:jc w:val="both"/>
        <w:rPr>
          <w:rFonts w:ascii="Times New Roman" w:hAnsi="Times New Roman"/>
          <w:sz w:val="24"/>
          <w:szCs w:val="20"/>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Los Estados Financieros de los entes públicos, proveen de información financiera a los principales usuarios de la misma, al Congreso y a los ciudadanos.</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7D1E76" w:rsidRPr="000B7810" w:rsidRDefault="007D1E76" w:rsidP="007D1E76">
      <w:pPr>
        <w:pStyle w:val="Prrafodelista"/>
        <w:spacing w:after="0" w:line="240" w:lineRule="auto"/>
        <w:jc w:val="both"/>
        <w:rPr>
          <w:rFonts w:ascii="Times New Roman" w:hAnsi="Times New Roman"/>
          <w:sz w:val="24"/>
          <w:szCs w:val="24"/>
        </w:rPr>
      </w:pPr>
    </w:p>
    <w:p w:rsidR="007D1E76" w:rsidRPr="000B7810" w:rsidRDefault="007D1E76" w:rsidP="007D1E76">
      <w:pPr>
        <w:pStyle w:val="Prrafodelista"/>
        <w:numPr>
          <w:ilvl w:val="0"/>
          <w:numId w:val="1"/>
        </w:numPr>
        <w:spacing w:after="0" w:line="240" w:lineRule="auto"/>
        <w:jc w:val="both"/>
        <w:rPr>
          <w:rFonts w:ascii="Times New Roman" w:hAnsi="Times New Roman"/>
          <w:sz w:val="24"/>
          <w:szCs w:val="24"/>
        </w:rPr>
      </w:pPr>
      <w:r w:rsidRPr="000B7810">
        <w:rPr>
          <w:rFonts w:ascii="Times New Roman" w:hAnsi="Times New Roman"/>
          <w:sz w:val="24"/>
          <w:szCs w:val="24"/>
        </w:rPr>
        <w:t>Las notas de gestión administrativa deben contener los siguientes puntos:</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1. Introducción:</w:t>
      </w:r>
      <w:r w:rsidRPr="000B7810">
        <w:rPr>
          <w:rFonts w:ascii="Times New Roman" w:hAnsi="Times New Roman"/>
          <w:sz w:val="24"/>
          <w:szCs w:val="24"/>
        </w:rPr>
        <w:tab/>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Breve descripción de las actividades principales de la entidad.</w:t>
      </w:r>
    </w:p>
    <w:p w:rsidR="005B42D8" w:rsidRPr="005B42D8" w:rsidRDefault="005B42D8" w:rsidP="005B42D8">
      <w:pPr>
        <w:jc w:val="both"/>
        <w:rPr>
          <w:rFonts w:ascii="Times New Roman" w:hAnsi="Times New Roman"/>
        </w:rPr>
      </w:pPr>
      <w:r w:rsidRPr="005B42D8">
        <w:rPr>
          <w:rFonts w:ascii="Times New Roman" w:hAnsi="Times New Roman"/>
        </w:rPr>
        <w:t>Operar y garantizar el buen funcionamiento de la prestación de los servicios de agua potable, alcantarillado sanitario y saneamiento, así como la detección, tratamiento y reusó de aguas residuales en la zona urbana del municipio de León Guanajuato.</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2. Describir el panorama Económico y Financiero:</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sobre las principales condiciones económico-financieras bajo las cuales el ente público estuvo operando; y las cuales influyeron en la toma de decisiones de la administración; tanto a nivel local como federal.</w:t>
      </w:r>
      <w:r w:rsidRPr="000B7810">
        <w:rPr>
          <w:rFonts w:ascii="Times New Roman" w:hAnsi="Times New Roman"/>
          <w:sz w:val="24"/>
          <w:szCs w:val="24"/>
        </w:rPr>
        <w:tab/>
      </w:r>
    </w:p>
    <w:p w:rsidR="005B42D8" w:rsidRPr="000B7810" w:rsidRDefault="005B42D8" w:rsidP="007D1E76">
      <w:pPr>
        <w:spacing w:after="0" w:line="240" w:lineRule="auto"/>
        <w:jc w:val="both"/>
        <w:rPr>
          <w:rFonts w:ascii="Times New Roman" w:hAnsi="Times New Roman"/>
          <w:sz w:val="24"/>
          <w:szCs w:val="24"/>
        </w:rPr>
      </w:pPr>
    </w:p>
    <w:p w:rsidR="007D1E76" w:rsidRPr="005B42D8" w:rsidRDefault="005B42D8" w:rsidP="005B42D8">
      <w:pPr>
        <w:jc w:val="both"/>
        <w:rPr>
          <w:rFonts w:ascii="Times New Roman" w:hAnsi="Times New Roman"/>
        </w:rPr>
      </w:pPr>
      <w:r w:rsidRPr="005B42D8">
        <w:rPr>
          <w:rFonts w:ascii="Times New Roman" w:hAnsi="Times New Roman"/>
        </w:rPr>
        <w:t>Los Estados Financieros del sistema de Agua Potable y Alcantarillado de León (SAPAL), presentan en todos los aspectos importantes, la situación financiera sana y estable del organismo.</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3. Autorización e Historia:</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Fecha de creación del ente.</w:t>
      </w:r>
    </w:p>
    <w:p w:rsidR="005B42D8" w:rsidRDefault="005B42D8" w:rsidP="005B42D8">
      <w:pPr>
        <w:jc w:val="both"/>
      </w:pPr>
      <w:r>
        <w:t>Fue creado mediante decreto de reglamento publicado por el H. Ayuntamiento constitucional del Municipio de León, Gto., el 9 de abril de 1985</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p>
    <w:p w:rsidR="007D1E76" w:rsidRPr="00CA4AB2" w:rsidRDefault="007D1E76" w:rsidP="007D1E76">
      <w:pPr>
        <w:spacing w:after="0" w:line="240" w:lineRule="auto"/>
        <w:jc w:val="both"/>
        <w:rPr>
          <w:rFonts w:ascii="Times New Roman" w:hAnsi="Times New Roman"/>
          <w:sz w:val="24"/>
          <w:szCs w:val="24"/>
        </w:rPr>
      </w:pPr>
      <w:r w:rsidRPr="00CA4AB2">
        <w:rPr>
          <w:rFonts w:ascii="Times New Roman" w:hAnsi="Times New Roman"/>
          <w:b/>
          <w:sz w:val="24"/>
          <w:szCs w:val="24"/>
        </w:rPr>
        <w:t>b)</w:t>
      </w:r>
      <w:r w:rsidRPr="00CA4AB2">
        <w:rPr>
          <w:rFonts w:ascii="Times New Roman" w:hAnsi="Times New Roman"/>
          <w:sz w:val="24"/>
          <w:szCs w:val="24"/>
        </w:rPr>
        <w:t xml:space="preserve"> Principales cambios en su estructura</w:t>
      </w:r>
    </w:p>
    <w:p w:rsidR="005B42D8" w:rsidRPr="00CA4AB2" w:rsidRDefault="005B42D8" w:rsidP="005B42D8">
      <w:pPr>
        <w:jc w:val="both"/>
      </w:pPr>
      <w:r w:rsidRPr="00CA4AB2">
        <w:t>Mediante publicación del 10 de diciembre 2010 en el Periódico Oficial del Gobierno del Estado de Guanajuato mediante Decreto por el cual se reforman, adicionan y derogan diversos artículos del Reglamento de los Servicios de Agua Potable y Saneamiento para el Municipio de León Guanajuato.</w:t>
      </w:r>
    </w:p>
    <w:p w:rsidR="00CA4AB2" w:rsidRDefault="00CA4AB2" w:rsidP="00CA4AB2">
      <w:pPr>
        <w:jc w:val="both"/>
      </w:pPr>
      <w:r w:rsidRPr="00CA4AB2">
        <w:t>Mediante publicación del 2 de junio 2017 en el Periódico Oficial del Gobierno del Estado de Guanajuato mediante Decreto por el cual se reforman, adicionan y derogan diversos artículos del Reglamento de los Servicios de Agua Potable y Saneamiento para el Municipio de León Guanajuato.</w:t>
      </w: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4. Organización y Objeto Social:</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Objeto social.</w:t>
      </w:r>
    </w:p>
    <w:p w:rsidR="005B42D8" w:rsidRDefault="005B42D8" w:rsidP="005B42D8">
      <w:pPr>
        <w:jc w:val="both"/>
      </w:pPr>
      <w:r>
        <w:t>Operar y garantizar el buen funcionamiento de la prestación de los servicios de agua potable, alcantarillado sanitario y saneamiento, así como la detección, tratamiento y reúso de aguas residuales en la zona urbana del municipio de León Guanajuato.</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Principal actividad.</w:t>
      </w:r>
    </w:p>
    <w:p w:rsidR="005B42D8" w:rsidRDefault="005B42D8" w:rsidP="005B42D8">
      <w:pPr>
        <w:jc w:val="both"/>
      </w:pPr>
      <w:r w:rsidRPr="006E47C8">
        <w:t>Suministro de agua potable, recolectar las aguas residuales y su saneamiento en la zona urbana del municipio de León, G</w:t>
      </w:r>
      <w:r>
        <w:t>uanajua</w:t>
      </w:r>
      <w:r w:rsidRPr="006E47C8">
        <w:t>to.</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Ejercicio fiscal </w:t>
      </w:r>
    </w:p>
    <w:p w:rsidR="005B42D8" w:rsidRDefault="002B1B8F" w:rsidP="005B42D8">
      <w:pPr>
        <w:jc w:val="both"/>
      </w:pPr>
      <w:r>
        <w:t>Ejercicio Enero-Diciembre de 2020</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d)</w:t>
      </w:r>
      <w:r w:rsidR="00F305C1">
        <w:rPr>
          <w:rFonts w:ascii="Times New Roman" w:hAnsi="Times New Roman"/>
          <w:sz w:val="24"/>
          <w:szCs w:val="24"/>
        </w:rPr>
        <w:t xml:space="preserve"> Régimen jurídico</w:t>
      </w:r>
    </w:p>
    <w:p w:rsidR="007D1E76" w:rsidRPr="005B42D8" w:rsidRDefault="005B42D8" w:rsidP="005B42D8">
      <w:pPr>
        <w:jc w:val="both"/>
      </w:pPr>
      <w:r w:rsidRPr="00661738">
        <w:t>Paramunicipal, como Organismo público descentralizado de la administración pública municipal de León, Guanajuato.</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Consideraciones fiscales del ente: revelar el tipo de contribuciones que esté obligado a pagar o retener.</w:t>
      </w:r>
    </w:p>
    <w:p w:rsidR="005B42D8" w:rsidRDefault="005B42D8" w:rsidP="005B42D8">
      <w:pPr>
        <w:jc w:val="both"/>
      </w:pPr>
      <w:r w:rsidRPr="00661738">
        <w:t xml:space="preserve">Registrado ante la Secretaría de Hacienda </w:t>
      </w:r>
      <w:r w:rsidR="0085358A">
        <w:t xml:space="preserve">y Crédito Público mediante RFC </w:t>
      </w:r>
      <w:r w:rsidRPr="00661738">
        <w:t xml:space="preserve">SAP8203102M4, como Persona moral con fines no lucrativos del Título III de la Ley del Impuesto Sobre la Renta. Conforme al cual se considera como remanente sujeto al pago de ISR, el importe de las erogaciones que efectúa y no reúnen los requisitos fiscales para su deducibilidad. En materia del Impuesto al Valor Agregado (IVA) los actos del Organismo se encuentran gravados conforme a lo establecido en los artículos 1 y 2A inciso h de la Ley del IVA. </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Estructura organizacional básica.</w:t>
      </w:r>
    </w:p>
    <w:p w:rsidR="007D1E76" w:rsidRDefault="007D1E76" w:rsidP="007D1E76">
      <w:pPr>
        <w:spacing w:after="0" w:line="240" w:lineRule="auto"/>
        <w:ind w:firstLine="708"/>
        <w:jc w:val="both"/>
        <w:rPr>
          <w:rFonts w:ascii="Times New Roman" w:hAnsi="Times New Roman"/>
          <w:sz w:val="24"/>
          <w:szCs w:val="24"/>
        </w:rPr>
      </w:pPr>
      <w:r w:rsidRPr="000B7810">
        <w:rPr>
          <w:rFonts w:ascii="Times New Roman" w:hAnsi="Times New Roman"/>
          <w:sz w:val="24"/>
          <w:szCs w:val="24"/>
        </w:rPr>
        <w:t>*Anexar organigrama de la entidad.</w:t>
      </w:r>
    </w:p>
    <w:p w:rsidR="00F05BD1" w:rsidRDefault="00F05BD1" w:rsidP="007D1E76">
      <w:pPr>
        <w:spacing w:after="0" w:line="240" w:lineRule="auto"/>
        <w:ind w:firstLine="708"/>
        <w:jc w:val="both"/>
        <w:rPr>
          <w:rFonts w:ascii="Times New Roman" w:hAnsi="Times New Roman"/>
          <w:sz w:val="24"/>
          <w:szCs w:val="24"/>
        </w:rPr>
      </w:pPr>
    </w:p>
    <w:p w:rsidR="00F05BD1" w:rsidRDefault="00F05BD1" w:rsidP="007D1E76">
      <w:pPr>
        <w:spacing w:after="0" w:line="240" w:lineRule="auto"/>
        <w:ind w:firstLine="708"/>
        <w:jc w:val="both"/>
        <w:rPr>
          <w:rFonts w:ascii="Times New Roman" w:hAnsi="Times New Roman"/>
          <w:sz w:val="24"/>
          <w:szCs w:val="24"/>
        </w:rPr>
      </w:pPr>
    </w:p>
    <w:p w:rsidR="00F05BD1" w:rsidRDefault="00F05BD1" w:rsidP="00F05BD1">
      <w:pPr>
        <w:jc w:val="both"/>
      </w:pPr>
      <w:r w:rsidRPr="00661738">
        <w:lastRenderedPageBreak/>
        <w:t>Para el estudio,</w:t>
      </w:r>
      <w:r>
        <w:t xml:space="preserve"> </w:t>
      </w:r>
      <w:r w:rsidRPr="00661738">
        <w:t>planeación, programación, ejecución, control y despacho de los asuntos de su competencia, SAPAL cuenta con un Consejo Directivo, un Director General y las Unidades Administrativas necesarias para el cumplimiento del objeto, funciones y atribuciones.</w:t>
      </w:r>
    </w:p>
    <w:p w:rsidR="00F05BD1" w:rsidRDefault="00F05BD1" w:rsidP="00F05BD1">
      <w:pPr>
        <w:jc w:val="both"/>
        <w:rPr>
          <w:rFonts w:ascii="Arial" w:hAnsi="Arial" w:cs="Arial"/>
          <w:sz w:val="20"/>
          <w:szCs w:val="20"/>
        </w:rPr>
      </w:pPr>
      <w:r w:rsidRPr="0090761C">
        <w:rPr>
          <w:rFonts w:ascii="Arial" w:hAnsi="Arial" w:cs="Arial"/>
          <w:sz w:val="20"/>
          <w:szCs w:val="20"/>
        </w:rPr>
        <w:t>*Anexar organigrama de la entidad.</w:t>
      </w:r>
    </w:p>
    <w:p w:rsidR="00F05BD1" w:rsidRPr="000B7810" w:rsidRDefault="00CC45CE" w:rsidP="00F05BD1">
      <w:pPr>
        <w:spacing w:after="0" w:line="240" w:lineRule="auto"/>
        <w:ind w:firstLine="708"/>
        <w:jc w:val="both"/>
        <w:rPr>
          <w:rFonts w:ascii="Times New Roman" w:hAnsi="Times New Roman"/>
          <w:sz w:val="24"/>
          <w:szCs w:val="24"/>
        </w:rPr>
      </w:pPr>
      <w:r>
        <w:rPr>
          <w:noProof/>
        </w:rPr>
        <w:drawing>
          <wp:inline distT="0" distB="0" distL="0" distR="0" wp14:anchorId="53B1A68A" wp14:editId="5B0C2013">
            <wp:extent cx="5972810" cy="3855720"/>
            <wp:effectExtent l="0" t="0" r="8890" b="0"/>
            <wp:docPr id="2" name="Imagen 1">
              <a:extLst xmlns:a="http://schemas.openxmlformats.org/drawingml/2006/main">
                <a:ext uri="{FF2B5EF4-FFF2-40B4-BE49-F238E27FC236}">
                  <a16:creationId xmlns:a16="http://schemas.microsoft.com/office/drawing/2014/main" id="{84F03A7F-7577-4A95-A3F6-4B6EBC8B8B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4F03A7F-7577-4A95-A3F6-4B6EBC8B8B02}"/>
                        </a:ext>
                      </a:extLst>
                    </pic:cNvPr>
                    <pic:cNvPicPr>
                      <a:picLocks noChangeAspect="1"/>
                    </pic:cNvPicPr>
                  </pic:nvPicPr>
                  <pic:blipFill rotWithShape="1">
                    <a:blip r:embed="rId9"/>
                    <a:srcRect l="2989" t="1683" r="62038" b="29621"/>
                    <a:stretch/>
                  </pic:blipFill>
                  <pic:spPr>
                    <a:xfrm>
                      <a:off x="0" y="0"/>
                      <a:ext cx="5972810" cy="3855720"/>
                    </a:xfrm>
                    <a:prstGeom prst="rect">
                      <a:avLst/>
                    </a:prstGeom>
                  </pic:spPr>
                </pic:pic>
              </a:graphicData>
            </a:graphic>
          </wp:inline>
        </w:drawing>
      </w:r>
    </w:p>
    <w:p w:rsidR="007D1E76" w:rsidRDefault="007D1E76" w:rsidP="007D1E76">
      <w:pPr>
        <w:spacing w:after="0" w:line="240" w:lineRule="auto"/>
        <w:jc w:val="both"/>
        <w:rPr>
          <w:rFonts w:ascii="Times New Roman" w:hAnsi="Times New Roman"/>
          <w:sz w:val="24"/>
          <w:szCs w:val="24"/>
        </w:rPr>
      </w:pPr>
    </w:p>
    <w:p w:rsidR="00CA4AB2" w:rsidRDefault="00CA4AB2" w:rsidP="007D1E76">
      <w:pPr>
        <w:spacing w:after="0" w:line="240" w:lineRule="auto"/>
        <w:jc w:val="both"/>
        <w:rPr>
          <w:rFonts w:ascii="Times New Roman" w:hAnsi="Times New Roman"/>
          <w:sz w:val="24"/>
          <w:szCs w:val="24"/>
        </w:rPr>
      </w:pPr>
    </w:p>
    <w:p w:rsidR="00CA4AB2" w:rsidRDefault="00CA4AB2" w:rsidP="007D1E76">
      <w:pPr>
        <w:spacing w:after="0" w:line="240" w:lineRule="auto"/>
        <w:jc w:val="both"/>
        <w:rPr>
          <w:rFonts w:ascii="Times New Roman" w:hAnsi="Times New Roman"/>
          <w:sz w:val="24"/>
          <w:szCs w:val="24"/>
        </w:rPr>
      </w:pPr>
    </w:p>
    <w:p w:rsidR="00CA4AB2" w:rsidRDefault="00CA4AB2" w:rsidP="007D1E76">
      <w:pPr>
        <w:spacing w:after="0" w:line="240" w:lineRule="auto"/>
        <w:jc w:val="both"/>
        <w:rPr>
          <w:rFonts w:ascii="Times New Roman" w:hAnsi="Times New Roman"/>
          <w:sz w:val="24"/>
          <w:szCs w:val="24"/>
        </w:rPr>
      </w:pPr>
    </w:p>
    <w:p w:rsidR="00CA4AB2" w:rsidRDefault="00CA4AB2" w:rsidP="007D1E76">
      <w:pPr>
        <w:spacing w:after="0" w:line="240" w:lineRule="auto"/>
        <w:jc w:val="both"/>
        <w:rPr>
          <w:rFonts w:ascii="Times New Roman" w:hAnsi="Times New Roman"/>
          <w:sz w:val="24"/>
          <w:szCs w:val="24"/>
        </w:rPr>
      </w:pPr>
    </w:p>
    <w:p w:rsidR="00CA4AB2" w:rsidRDefault="00CA4AB2" w:rsidP="007D1E76">
      <w:pPr>
        <w:spacing w:after="0" w:line="240" w:lineRule="auto"/>
        <w:jc w:val="both"/>
        <w:rPr>
          <w:rFonts w:ascii="Times New Roman" w:hAnsi="Times New Roman"/>
          <w:sz w:val="24"/>
          <w:szCs w:val="24"/>
        </w:rPr>
      </w:pPr>
    </w:p>
    <w:p w:rsidR="00CA4AB2" w:rsidRDefault="00CA4AB2" w:rsidP="007D1E76">
      <w:pPr>
        <w:spacing w:after="0" w:line="240" w:lineRule="auto"/>
        <w:jc w:val="both"/>
        <w:rPr>
          <w:rFonts w:ascii="Times New Roman" w:hAnsi="Times New Roman"/>
          <w:sz w:val="24"/>
          <w:szCs w:val="24"/>
        </w:rPr>
      </w:pPr>
    </w:p>
    <w:p w:rsidR="00CA4AB2" w:rsidRDefault="00CA4AB2" w:rsidP="007D1E76">
      <w:pPr>
        <w:spacing w:after="0" w:line="240" w:lineRule="auto"/>
        <w:jc w:val="both"/>
        <w:rPr>
          <w:rFonts w:ascii="Times New Roman" w:hAnsi="Times New Roman"/>
          <w:sz w:val="24"/>
          <w:szCs w:val="24"/>
        </w:rPr>
      </w:pPr>
    </w:p>
    <w:p w:rsidR="00CA4AB2" w:rsidRDefault="00CA4AB2" w:rsidP="007D1E76">
      <w:pPr>
        <w:spacing w:after="0" w:line="240" w:lineRule="auto"/>
        <w:jc w:val="both"/>
        <w:rPr>
          <w:rFonts w:ascii="Times New Roman" w:hAnsi="Times New Roman"/>
          <w:sz w:val="24"/>
          <w:szCs w:val="24"/>
        </w:rPr>
      </w:pPr>
    </w:p>
    <w:p w:rsidR="00CA4AB2" w:rsidRDefault="00CA4AB2" w:rsidP="007D1E76">
      <w:pPr>
        <w:spacing w:after="0" w:line="240" w:lineRule="auto"/>
        <w:jc w:val="both"/>
        <w:rPr>
          <w:rFonts w:ascii="Times New Roman" w:hAnsi="Times New Roman"/>
          <w:sz w:val="24"/>
          <w:szCs w:val="24"/>
        </w:rPr>
      </w:pPr>
    </w:p>
    <w:p w:rsidR="00CA4AB2" w:rsidRDefault="00CA4AB2" w:rsidP="007D1E76">
      <w:pPr>
        <w:spacing w:after="0" w:line="240" w:lineRule="auto"/>
        <w:jc w:val="both"/>
        <w:rPr>
          <w:rFonts w:ascii="Times New Roman" w:hAnsi="Times New Roman"/>
          <w:sz w:val="24"/>
          <w:szCs w:val="24"/>
        </w:rPr>
      </w:pPr>
    </w:p>
    <w:p w:rsidR="00CA4AB2" w:rsidRDefault="00CA4AB2" w:rsidP="007D1E76">
      <w:pPr>
        <w:spacing w:after="0" w:line="240" w:lineRule="auto"/>
        <w:jc w:val="both"/>
        <w:rPr>
          <w:rFonts w:ascii="Times New Roman" w:hAnsi="Times New Roman"/>
          <w:sz w:val="24"/>
          <w:szCs w:val="24"/>
        </w:rPr>
      </w:pPr>
    </w:p>
    <w:p w:rsidR="00CA4AB2" w:rsidRDefault="00CA4AB2" w:rsidP="007D1E76">
      <w:pPr>
        <w:spacing w:after="0" w:line="240" w:lineRule="auto"/>
        <w:jc w:val="both"/>
        <w:rPr>
          <w:rFonts w:ascii="Times New Roman" w:hAnsi="Times New Roman"/>
          <w:sz w:val="24"/>
          <w:szCs w:val="24"/>
        </w:rPr>
      </w:pPr>
    </w:p>
    <w:p w:rsidR="00CC45CE" w:rsidRDefault="00CC45CE" w:rsidP="007D1E76">
      <w:pPr>
        <w:spacing w:after="0" w:line="240" w:lineRule="auto"/>
        <w:jc w:val="both"/>
        <w:rPr>
          <w:rFonts w:ascii="Times New Roman" w:hAnsi="Times New Roman"/>
          <w:sz w:val="24"/>
          <w:szCs w:val="24"/>
        </w:rPr>
      </w:pPr>
    </w:p>
    <w:p w:rsidR="00CC45CE" w:rsidRDefault="00CC45CE" w:rsidP="007D1E76">
      <w:pPr>
        <w:spacing w:after="0" w:line="240" w:lineRule="auto"/>
        <w:jc w:val="both"/>
        <w:rPr>
          <w:rFonts w:ascii="Times New Roman" w:hAnsi="Times New Roman"/>
          <w:sz w:val="24"/>
          <w:szCs w:val="24"/>
        </w:rPr>
      </w:pPr>
    </w:p>
    <w:p w:rsidR="00CC45CE" w:rsidRPr="000B7810" w:rsidRDefault="00CC45CE"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g)</w:t>
      </w:r>
      <w:r w:rsidRPr="000B7810">
        <w:rPr>
          <w:rFonts w:ascii="Times New Roman" w:hAnsi="Times New Roman"/>
          <w:sz w:val="24"/>
          <w:szCs w:val="24"/>
        </w:rPr>
        <w:t xml:space="preserve"> Fideicomisos, mandatos y análogos de los cuales es fideicomitente o fiduciario.</w:t>
      </w:r>
    </w:p>
    <w:p w:rsidR="007D1E76" w:rsidRDefault="007D1E76" w:rsidP="007D1E76">
      <w:pPr>
        <w:spacing w:after="0" w:line="240" w:lineRule="auto"/>
        <w:jc w:val="both"/>
        <w:rPr>
          <w:rFonts w:ascii="Times New Roman" w:hAnsi="Times New Roman"/>
          <w:b/>
          <w:sz w:val="24"/>
          <w:szCs w:val="24"/>
        </w:rPr>
      </w:pPr>
    </w:p>
    <w:tbl>
      <w:tblPr>
        <w:tblW w:w="8868" w:type="dxa"/>
        <w:tblInd w:w="55" w:type="dxa"/>
        <w:tblCellMar>
          <w:left w:w="70" w:type="dxa"/>
          <w:right w:w="70" w:type="dxa"/>
        </w:tblCellMar>
        <w:tblLook w:val="04A0" w:firstRow="1" w:lastRow="0" w:firstColumn="1" w:lastColumn="0" w:noHBand="0" w:noVBand="1"/>
      </w:tblPr>
      <w:tblGrid>
        <w:gridCol w:w="5822"/>
        <w:gridCol w:w="3046"/>
      </w:tblGrid>
      <w:tr w:rsidR="00F05BD1" w:rsidRPr="00F05BD1" w:rsidTr="00F05BD1">
        <w:trPr>
          <w:trHeight w:val="300"/>
        </w:trPr>
        <w:tc>
          <w:tcPr>
            <w:tcW w:w="582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05BD1" w:rsidRPr="00F05BD1" w:rsidRDefault="00F05BD1" w:rsidP="00F05BD1">
            <w:pPr>
              <w:spacing w:after="0" w:line="240" w:lineRule="auto"/>
              <w:jc w:val="center"/>
              <w:rPr>
                <w:rFonts w:ascii="Arial" w:eastAsia="Times New Roman" w:hAnsi="Arial" w:cs="Arial"/>
                <w:b/>
                <w:bCs/>
                <w:color w:val="000000"/>
                <w:sz w:val="16"/>
                <w:szCs w:val="16"/>
                <w:lang w:eastAsia="es-MX"/>
              </w:rPr>
            </w:pPr>
            <w:r w:rsidRPr="00F05BD1">
              <w:rPr>
                <w:rFonts w:ascii="Arial" w:eastAsia="Times New Roman" w:hAnsi="Arial" w:cs="Arial"/>
                <w:b/>
                <w:bCs/>
                <w:color w:val="000000"/>
                <w:sz w:val="16"/>
                <w:szCs w:val="16"/>
                <w:lang w:eastAsia="es-MX"/>
              </w:rPr>
              <w:lastRenderedPageBreak/>
              <w:t>NOMBRE DEL FIDEICOMISO</w:t>
            </w:r>
          </w:p>
        </w:tc>
        <w:tc>
          <w:tcPr>
            <w:tcW w:w="3046" w:type="dxa"/>
            <w:tcBorders>
              <w:top w:val="single" w:sz="4" w:space="0" w:color="auto"/>
              <w:left w:val="nil"/>
              <w:bottom w:val="single" w:sz="4" w:space="0" w:color="auto"/>
              <w:right w:val="single" w:sz="4" w:space="0" w:color="auto"/>
            </w:tcBorders>
            <w:shd w:val="clear" w:color="000000" w:fill="FFCC99"/>
            <w:noWrap/>
            <w:vAlign w:val="center"/>
            <w:hideMark/>
          </w:tcPr>
          <w:p w:rsidR="00F05BD1" w:rsidRPr="00F05BD1" w:rsidRDefault="00F05BD1" w:rsidP="00F05BD1">
            <w:pPr>
              <w:spacing w:after="0" w:line="240" w:lineRule="auto"/>
              <w:jc w:val="center"/>
              <w:rPr>
                <w:rFonts w:ascii="Arial" w:eastAsia="Times New Roman" w:hAnsi="Arial" w:cs="Arial"/>
                <w:b/>
                <w:bCs/>
                <w:color w:val="000000"/>
                <w:sz w:val="16"/>
                <w:szCs w:val="16"/>
                <w:lang w:eastAsia="es-MX"/>
              </w:rPr>
            </w:pPr>
            <w:r w:rsidRPr="00F05BD1">
              <w:rPr>
                <w:rFonts w:ascii="Arial" w:eastAsia="Times New Roman" w:hAnsi="Arial" w:cs="Arial"/>
                <w:b/>
                <w:bCs/>
                <w:color w:val="000000"/>
                <w:sz w:val="16"/>
                <w:szCs w:val="16"/>
                <w:lang w:eastAsia="es-MX"/>
              </w:rPr>
              <w:t>OBJETO DEL FIDEICOMISO</w:t>
            </w:r>
          </w:p>
        </w:tc>
      </w:tr>
      <w:tr w:rsidR="00F05BD1" w:rsidRPr="00F05BD1" w:rsidTr="00F05BD1">
        <w:trPr>
          <w:trHeight w:val="2760"/>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rsidR="00F05BD1" w:rsidRPr="00F05BD1" w:rsidRDefault="00F05BD1" w:rsidP="00F05BD1">
            <w:pPr>
              <w:spacing w:after="0" w:line="240" w:lineRule="auto"/>
              <w:rPr>
                <w:rFonts w:ascii="Arial" w:eastAsia="Times New Roman" w:hAnsi="Arial" w:cs="Arial"/>
                <w:color w:val="000000"/>
                <w:sz w:val="16"/>
                <w:szCs w:val="16"/>
                <w:lang w:eastAsia="es-MX"/>
              </w:rPr>
            </w:pPr>
            <w:r w:rsidRPr="00F05BD1">
              <w:rPr>
                <w:rFonts w:ascii="Arial" w:eastAsia="Times New Roman" w:hAnsi="Arial" w:cs="Arial"/>
                <w:color w:val="000000"/>
                <w:sz w:val="16"/>
                <w:szCs w:val="16"/>
                <w:lang w:eastAsia="es-MX"/>
              </w:rPr>
              <w:t>FIDEICOMISO 1960 PLANTA DE TRATAMIENTO DE AGUAS RESIDUALES DE LEON</w:t>
            </w:r>
          </w:p>
        </w:tc>
        <w:tc>
          <w:tcPr>
            <w:tcW w:w="3046" w:type="dxa"/>
            <w:tcBorders>
              <w:top w:val="nil"/>
              <w:left w:val="nil"/>
              <w:bottom w:val="single" w:sz="4" w:space="0" w:color="auto"/>
              <w:right w:val="single" w:sz="4" w:space="0" w:color="auto"/>
            </w:tcBorders>
            <w:shd w:val="clear" w:color="auto" w:fill="auto"/>
            <w:vAlign w:val="bottom"/>
            <w:hideMark/>
          </w:tcPr>
          <w:p w:rsidR="00F05BD1" w:rsidRPr="00F05BD1" w:rsidRDefault="00F05BD1" w:rsidP="00F05BD1">
            <w:pPr>
              <w:spacing w:after="0" w:line="240" w:lineRule="auto"/>
              <w:rPr>
                <w:rFonts w:ascii="Arial" w:eastAsia="Times New Roman" w:hAnsi="Arial" w:cs="Arial"/>
                <w:color w:val="000000"/>
                <w:sz w:val="16"/>
                <w:szCs w:val="16"/>
                <w:lang w:eastAsia="es-MX"/>
              </w:rPr>
            </w:pPr>
            <w:r w:rsidRPr="00F05BD1">
              <w:rPr>
                <w:rFonts w:ascii="Arial" w:eastAsia="Times New Roman" w:hAnsi="Arial" w:cs="Arial"/>
                <w:color w:val="000000"/>
                <w:sz w:val="16"/>
                <w:szCs w:val="16"/>
                <w:lang w:eastAsia="es-MX"/>
              </w:rPr>
              <w:t>CONTITUIR EL PATRIMONIO DEL MISMO CON APORTACIÓN INICIAL Y LA CANTIDAD EQUIVALENTE A 1 MES DE AMORTIZACIÓN DE CAPITAL DE CRÉDITO MAS 1 MES DE INTERESES ORDINARIOS DEL MISMO PARA LA CONSTITUCIÓN DE UN FONDO REVOLVENTE DE PROVISIÓN, QUE SERA DESTINADO PARA CUBRIR MENSUALMENTE A BANOBRAS EL IMPORTE DE 1 DE AMORTIZACIÓN DE CAPITAL, MAS 1 MES DE INTERESES ORDINARIOS DEL CREDITO DE LA 1RA FACE</w:t>
            </w:r>
          </w:p>
        </w:tc>
      </w:tr>
      <w:tr w:rsidR="00F05BD1" w:rsidRPr="00F05BD1" w:rsidTr="00F05BD1">
        <w:trPr>
          <w:trHeight w:val="2483"/>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rsidR="00F05BD1" w:rsidRPr="00F05BD1" w:rsidRDefault="00F05BD1" w:rsidP="00F05BD1">
            <w:pPr>
              <w:spacing w:after="0" w:line="240" w:lineRule="auto"/>
              <w:rPr>
                <w:rFonts w:ascii="Arial" w:eastAsia="Times New Roman" w:hAnsi="Arial" w:cs="Arial"/>
                <w:color w:val="000000"/>
                <w:sz w:val="16"/>
                <w:szCs w:val="16"/>
                <w:lang w:eastAsia="es-MX"/>
              </w:rPr>
            </w:pPr>
            <w:r w:rsidRPr="00F05BD1">
              <w:rPr>
                <w:rFonts w:ascii="Arial" w:eastAsia="Times New Roman" w:hAnsi="Arial" w:cs="Arial"/>
                <w:color w:val="000000"/>
                <w:sz w:val="16"/>
                <w:szCs w:val="16"/>
                <w:lang w:eastAsia="es-MX"/>
              </w:rPr>
              <w:t>FIDEICOMISO 2115 PLANTA DE TRATAMIENTO DE AGUAS RESIDUALES DE LEON</w:t>
            </w:r>
          </w:p>
        </w:tc>
        <w:tc>
          <w:tcPr>
            <w:tcW w:w="3046" w:type="dxa"/>
            <w:tcBorders>
              <w:top w:val="nil"/>
              <w:left w:val="nil"/>
              <w:bottom w:val="single" w:sz="4" w:space="0" w:color="auto"/>
              <w:right w:val="single" w:sz="4" w:space="0" w:color="auto"/>
            </w:tcBorders>
            <w:shd w:val="clear" w:color="auto" w:fill="auto"/>
            <w:vAlign w:val="bottom"/>
            <w:hideMark/>
          </w:tcPr>
          <w:p w:rsidR="00F05BD1" w:rsidRPr="00F05BD1" w:rsidRDefault="00F05BD1" w:rsidP="00F05BD1">
            <w:pPr>
              <w:spacing w:after="0" w:line="240" w:lineRule="auto"/>
              <w:rPr>
                <w:rFonts w:ascii="Arial" w:eastAsia="Times New Roman" w:hAnsi="Arial" w:cs="Arial"/>
                <w:color w:val="000000"/>
                <w:sz w:val="16"/>
                <w:szCs w:val="16"/>
                <w:lang w:eastAsia="es-MX"/>
              </w:rPr>
            </w:pPr>
            <w:r w:rsidRPr="00F05BD1">
              <w:rPr>
                <w:rFonts w:ascii="Arial" w:eastAsia="Times New Roman" w:hAnsi="Arial" w:cs="Arial"/>
                <w:color w:val="000000"/>
                <w:sz w:val="16"/>
                <w:szCs w:val="16"/>
                <w:lang w:eastAsia="es-MX"/>
              </w:rPr>
              <w:t>CONTITUIR EL PATRIMONIO DEL MISMO CON APORTACIÓN INICIAL Y LA CANTIDAD EQUIVALENTE A 1 MES DE AMORTIZACIÓN DE CAPITAL DE CRÉDITO MAS 1 MES DE INTERESES ORDINARIOS DEL MISMO PARA LA CONSTITUCIÓN DE UN FONDO REVOLVENTE DE PROVISIÓN, QUE SERA DESTINADO PARA CUBRIR MENSUALMENTE A BANOBRAS EL IMPORTE DE 1 DE AMORTIZACIÓN DE CAPITAL, MAS 1 MES DE INTERESES ORDINARIOS DEL CREDITO DE LA 2DA FACE</w:t>
            </w:r>
          </w:p>
        </w:tc>
      </w:tr>
      <w:tr w:rsidR="00F05BD1" w:rsidRPr="00F05BD1" w:rsidTr="00F05BD1">
        <w:trPr>
          <w:trHeight w:val="2483"/>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rsidR="00F05BD1" w:rsidRPr="00F05BD1" w:rsidRDefault="00F05BD1" w:rsidP="00F05BD1">
            <w:pPr>
              <w:spacing w:after="0" w:line="240" w:lineRule="auto"/>
              <w:rPr>
                <w:rFonts w:ascii="Arial" w:eastAsia="Times New Roman" w:hAnsi="Arial" w:cs="Arial"/>
                <w:color w:val="000000"/>
                <w:sz w:val="16"/>
                <w:szCs w:val="16"/>
                <w:lang w:eastAsia="es-MX"/>
              </w:rPr>
            </w:pPr>
            <w:r w:rsidRPr="00F05BD1">
              <w:rPr>
                <w:rFonts w:ascii="Arial" w:eastAsia="Times New Roman" w:hAnsi="Arial" w:cs="Arial"/>
                <w:color w:val="000000"/>
                <w:sz w:val="16"/>
                <w:szCs w:val="16"/>
                <w:lang w:eastAsia="es-MX"/>
              </w:rPr>
              <w:t>FIDEICOMISO 3870-06-34 FONDO PRIMA DE ANTIGÜEDAD, FONDO  PENSIONES POR JUBILACIONES</w:t>
            </w:r>
          </w:p>
        </w:tc>
        <w:tc>
          <w:tcPr>
            <w:tcW w:w="3046" w:type="dxa"/>
            <w:tcBorders>
              <w:top w:val="nil"/>
              <w:left w:val="nil"/>
              <w:bottom w:val="single" w:sz="4" w:space="0" w:color="auto"/>
              <w:right w:val="single" w:sz="4" w:space="0" w:color="auto"/>
            </w:tcBorders>
            <w:shd w:val="clear" w:color="auto" w:fill="auto"/>
            <w:vAlign w:val="bottom"/>
            <w:hideMark/>
          </w:tcPr>
          <w:p w:rsidR="00F05BD1" w:rsidRPr="00F05BD1" w:rsidRDefault="00F05BD1" w:rsidP="00F05BD1">
            <w:pPr>
              <w:spacing w:after="0" w:line="240" w:lineRule="auto"/>
              <w:rPr>
                <w:rFonts w:ascii="Arial" w:eastAsia="Times New Roman" w:hAnsi="Arial" w:cs="Arial"/>
                <w:color w:val="000000"/>
                <w:sz w:val="16"/>
                <w:szCs w:val="16"/>
                <w:lang w:eastAsia="es-MX"/>
              </w:rPr>
            </w:pPr>
            <w:r w:rsidRPr="00F05BD1">
              <w:rPr>
                <w:rFonts w:ascii="Arial" w:eastAsia="Times New Roman" w:hAnsi="Arial" w:cs="Arial"/>
                <w:color w:val="000000"/>
                <w:sz w:val="16"/>
                <w:szCs w:val="16"/>
                <w:lang w:eastAsia="es-MX"/>
              </w:rPr>
              <w:t>FONDO DE PENSIONES, JUBILACIONES Y PRIMA DE ANTIGÜEDAD</w:t>
            </w:r>
          </w:p>
        </w:tc>
      </w:tr>
    </w:tbl>
    <w:p w:rsidR="005B42D8" w:rsidRPr="000B7810" w:rsidRDefault="005B42D8"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5. Bases de Preparación de los Estados Financieros: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Si se ha observado la normatividad emitida por el CONAC y las disposiciones legales aplicables.</w:t>
      </w:r>
    </w:p>
    <w:p w:rsidR="00F05BD1" w:rsidRDefault="00F05BD1" w:rsidP="00F05BD1">
      <w:pPr>
        <w:jc w:val="both"/>
      </w:pPr>
      <w:r w:rsidRPr="00B77E7A">
        <w:t xml:space="preserve">A partir del 1° de Enero de 2009 entró en vigor la Ley General de Contabilidad Gubernamental (LGCG) la cual tiene por objeto  regularizar la administración contable presupuestal de los organismos del sector público, homologando así la práctica en todo el país de los sujetos de esta Ley, para tal efecto SAPAL tiene la obligación de acatar los lineamientos emitidos en la Ley antes mencionada y sus documentos derivados emitidos durante 2009, a </w:t>
      </w:r>
      <w:r w:rsidR="00ED0980" w:rsidRPr="00B77E7A">
        <w:t>más</w:t>
      </w:r>
      <w:r w:rsidRPr="00B77E7A">
        <w:t xml:space="preserve"> tardar el 31 de diciembre de 2010, excepto por los documentos denominados "Marco Conceptual de Contabilidad Gubernamental" y "Postulados básicos de Contabilidad Gubernamental", de los cuales su adopción fue de carácter obligatorio a partir del 30 de abril de 2010; sin embargo, de conformidad al acuerdo de interpretación sobre las obligaciones establecidas en los artículos transitorios de la Ley General de Contabilidad Gubernamental, aprobado el 15 de diciembre de 2010 por </w:t>
      </w:r>
      <w:r w:rsidRPr="00B77E7A">
        <w:lastRenderedPageBreak/>
        <w:t>el Consejo Nacional de Armonización Contable, dichas obligaciones se postergaron y a continuación se muestra un resumen del acuerdo antes mencionado.</w:t>
      </w:r>
    </w:p>
    <w:p w:rsidR="00F05BD1" w:rsidRDefault="00F05BD1" w:rsidP="00F05BD1">
      <w:pPr>
        <w:spacing w:after="0" w:line="240" w:lineRule="auto"/>
        <w:jc w:val="both"/>
        <w:rPr>
          <w:rFonts w:cs="Calibri"/>
          <w:color w:val="000000"/>
        </w:rPr>
      </w:pPr>
      <w:r w:rsidRPr="00B77E7A">
        <w:rPr>
          <w:rFonts w:cs="Calibri"/>
          <w:color w:val="000000"/>
        </w:rPr>
        <w:t>a) Disponer a más tardar el 31 de</w:t>
      </w:r>
      <w:r>
        <w:rPr>
          <w:rFonts w:cs="Calibri"/>
          <w:color w:val="000000"/>
        </w:rPr>
        <w:t xml:space="preserve"> </w:t>
      </w:r>
      <w:r w:rsidRPr="00B77E7A">
        <w:rPr>
          <w:rFonts w:cs="Calibri"/>
          <w:color w:val="000000"/>
        </w:rPr>
        <w:t>diciembre de 2010 de los siguientes documentos técnicos:</w:t>
      </w:r>
    </w:p>
    <w:p w:rsidR="00F05BD1" w:rsidRPr="00B77E7A" w:rsidRDefault="00F05BD1" w:rsidP="00F05BD1">
      <w:pPr>
        <w:spacing w:after="0" w:line="240" w:lineRule="auto"/>
        <w:jc w:val="both"/>
        <w:rPr>
          <w:rFonts w:cs="Calibri"/>
          <w:color w:val="000000"/>
        </w:rPr>
      </w:pPr>
    </w:p>
    <w:tbl>
      <w:tblPr>
        <w:tblW w:w="8917" w:type="dxa"/>
        <w:tblInd w:w="-605" w:type="dxa"/>
        <w:tblCellMar>
          <w:left w:w="70" w:type="dxa"/>
          <w:right w:w="70" w:type="dxa"/>
        </w:tblCellMar>
        <w:tblLook w:val="04A0" w:firstRow="1" w:lastRow="0" w:firstColumn="1" w:lastColumn="0" w:noHBand="0" w:noVBand="1"/>
      </w:tblPr>
      <w:tblGrid>
        <w:gridCol w:w="8917"/>
      </w:tblGrid>
      <w:tr w:rsidR="00F05BD1" w:rsidRPr="003C0196" w:rsidTr="00154D56">
        <w:trPr>
          <w:trHeight w:val="297"/>
        </w:trPr>
        <w:tc>
          <w:tcPr>
            <w:tcW w:w="8917" w:type="dxa"/>
            <w:tcBorders>
              <w:top w:val="nil"/>
              <w:left w:val="nil"/>
              <w:bottom w:val="nil"/>
              <w:right w:val="nil"/>
            </w:tcBorders>
            <w:shd w:val="clear" w:color="auto" w:fill="auto"/>
            <w:noWrap/>
            <w:vAlign w:val="center"/>
            <w:hideMark/>
          </w:tcPr>
          <w:p w:rsidR="00F05BD1" w:rsidRPr="00B77E7A" w:rsidRDefault="00F05BD1" w:rsidP="00154D56">
            <w:pPr>
              <w:spacing w:after="0" w:line="240" w:lineRule="auto"/>
              <w:ind w:firstLineChars="500" w:firstLine="1100"/>
              <w:rPr>
                <w:rFonts w:cs="Calibri"/>
                <w:color w:val="000000"/>
              </w:rPr>
            </w:pPr>
            <w:r w:rsidRPr="00B77E7A">
              <w:rPr>
                <w:rFonts w:cs="Calibri"/>
                <w:color w:val="000000"/>
              </w:rPr>
              <w:t>1. Marco conceptual</w:t>
            </w:r>
          </w:p>
        </w:tc>
      </w:tr>
      <w:tr w:rsidR="00F05BD1" w:rsidRPr="003C0196" w:rsidTr="00154D56">
        <w:trPr>
          <w:trHeight w:val="297"/>
        </w:trPr>
        <w:tc>
          <w:tcPr>
            <w:tcW w:w="8917" w:type="dxa"/>
            <w:tcBorders>
              <w:top w:val="nil"/>
              <w:left w:val="nil"/>
              <w:bottom w:val="nil"/>
              <w:right w:val="nil"/>
            </w:tcBorders>
            <w:shd w:val="clear" w:color="auto" w:fill="auto"/>
            <w:noWrap/>
            <w:vAlign w:val="center"/>
            <w:hideMark/>
          </w:tcPr>
          <w:p w:rsidR="00F05BD1" w:rsidRPr="00B77E7A" w:rsidRDefault="00F05BD1" w:rsidP="00154D56">
            <w:pPr>
              <w:spacing w:after="0" w:line="240" w:lineRule="auto"/>
              <w:ind w:firstLineChars="500" w:firstLine="1100"/>
              <w:rPr>
                <w:rFonts w:cs="Calibri"/>
                <w:color w:val="000000"/>
              </w:rPr>
            </w:pPr>
            <w:r w:rsidRPr="00B77E7A">
              <w:rPr>
                <w:rFonts w:cs="Calibri"/>
                <w:color w:val="000000"/>
              </w:rPr>
              <w:t>2. Postulados básicos</w:t>
            </w:r>
          </w:p>
        </w:tc>
      </w:tr>
      <w:tr w:rsidR="00F05BD1" w:rsidRPr="003C0196" w:rsidTr="00154D56">
        <w:trPr>
          <w:trHeight w:val="297"/>
        </w:trPr>
        <w:tc>
          <w:tcPr>
            <w:tcW w:w="8917" w:type="dxa"/>
            <w:tcBorders>
              <w:top w:val="nil"/>
              <w:left w:val="nil"/>
              <w:bottom w:val="nil"/>
              <w:right w:val="nil"/>
            </w:tcBorders>
            <w:shd w:val="clear" w:color="auto" w:fill="auto"/>
            <w:noWrap/>
            <w:vAlign w:val="center"/>
            <w:hideMark/>
          </w:tcPr>
          <w:p w:rsidR="00F05BD1" w:rsidRPr="00B77E7A" w:rsidRDefault="00F05BD1" w:rsidP="00154D56">
            <w:pPr>
              <w:spacing w:after="0" w:line="240" w:lineRule="auto"/>
              <w:ind w:firstLineChars="500" w:firstLine="1100"/>
              <w:rPr>
                <w:rFonts w:cs="Calibri"/>
                <w:color w:val="000000"/>
              </w:rPr>
            </w:pPr>
            <w:r w:rsidRPr="00B77E7A">
              <w:rPr>
                <w:rFonts w:cs="Calibri"/>
                <w:color w:val="000000"/>
              </w:rPr>
              <w:t>3. Clasificador por objeto del gasto</w:t>
            </w:r>
          </w:p>
        </w:tc>
      </w:tr>
      <w:tr w:rsidR="00F05BD1" w:rsidRPr="003C0196" w:rsidTr="00154D56">
        <w:trPr>
          <w:trHeight w:val="297"/>
        </w:trPr>
        <w:tc>
          <w:tcPr>
            <w:tcW w:w="8917" w:type="dxa"/>
            <w:tcBorders>
              <w:top w:val="nil"/>
              <w:left w:val="nil"/>
              <w:bottom w:val="nil"/>
              <w:right w:val="nil"/>
            </w:tcBorders>
            <w:shd w:val="clear" w:color="auto" w:fill="auto"/>
            <w:noWrap/>
            <w:vAlign w:val="center"/>
            <w:hideMark/>
          </w:tcPr>
          <w:p w:rsidR="00F05BD1" w:rsidRPr="00B77E7A" w:rsidRDefault="00F05BD1" w:rsidP="00154D56">
            <w:pPr>
              <w:spacing w:after="0" w:line="240" w:lineRule="auto"/>
              <w:ind w:firstLineChars="500" w:firstLine="1100"/>
              <w:rPr>
                <w:rFonts w:cs="Calibri"/>
                <w:color w:val="000000"/>
              </w:rPr>
            </w:pPr>
            <w:r w:rsidRPr="00B77E7A">
              <w:rPr>
                <w:rFonts w:cs="Calibri"/>
                <w:color w:val="000000"/>
              </w:rPr>
              <w:t>4. Clasificador por  tipo del gasto</w:t>
            </w:r>
          </w:p>
        </w:tc>
      </w:tr>
      <w:tr w:rsidR="00F05BD1" w:rsidRPr="003C0196" w:rsidTr="00154D56">
        <w:trPr>
          <w:trHeight w:val="297"/>
        </w:trPr>
        <w:tc>
          <w:tcPr>
            <w:tcW w:w="8917" w:type="dxa"/>
            <w:tcBorders>
              <w:top w:val="nil"/>
              <w:left w:val="nil"/>
              <w:bottom w:val="nil"/>
              <w:right w:val="nil"/>
            </w:tcBorders>
            <w:shd w:val="clear" w:color="auto" w:fill="auto"/>
            <w:noWrap/>
            <w:vAlign w:val="center"/>
            <w:hideMark/>
          </w:tcPr>
          <w:p w:rsidR="00F05BD1" w:rsidRPr="00B77E7A" w:rsidRDefault="00F05BD1" w:rsidP="00154D56">
            <w:pPr>
              <w:spacing w:after="0" w:line="240" w:lineRule="auto"/>
              <w:ind w:firstLineChars="500" w:firstLine="1100"/>
              <w:rPr>
                <w:rFonts w:cs="Calibri"/>
                <w:color w:val="000000"/>
              </w:rPr>
            </w:pPr>
            <w:r w:rsidRPr="00B77E7A">
              <w:rPr>
                <w:rFonts w:cs="Calibri"/>
                <w:color w:val="000000"/>
              </w:rPr>
              <w:t>5. Clasificador por rubro de ingreso</w:t>
            </w:r>
          </w:p>
        </w:tc>
      </w:tr>
      <w:tr w:rsidR="00F05BD1" w:rsidRPr="003C0196" w:rsidTr="00154D56">
        <w:trPr>
          <w:trHeight w:val="297"/>
        </w:trPr>
        <w:tc>
          <w:tcPr>
            <w:tcW w:w="8917" w:type="dxa"/>
            <w:tcBorders>
              <w:top w:val="nil"/>
              <w:left w:val="nil"/>
              <w:bottom w:val="nil"/>
              <w:right w:val="nil"/>
            </w:tcBorders>
            <w:shd w:val="clear" w:color="auto" w:fill="auto"/>
            <w:noWrap/>
            <w:vAlign w:val="center"/>
            <w:hideMark/>
          </w:tcPr>
          <w:p w:rsidR="00F05BD1" w:rsidRPr="00B77E7A" w:rsidRDefault="00F05BD1" w:rsidP="00154D56">
            <w:pPr>
              <w:spacing w:after="0" w:line="240" w:lineRule="auto"/>
              <w:ind w:firstLineChars="500" w:firstLine="1100"/>
              <w:rPr>
                <w:rFonts w:cs="Calibri"/>
                <w:color w:val="000000"/>
              </w:rPr>
            </w:pPr>
            <w:r w:rsidRPr="00B77E7A">
              <w:rPr>
                <w:rFonts w:cs="Calibri"/>
                <w:color w:val="000000"/>
              </w:rPr>
              <w:t>6. Catálogo de cuentas de contabilidad</w:t>
            </w:r>
          </w:p>
        </w:tc>
      </w:tr>
      <w:tr w:rsidR="00F05BD1" w:rsidRPr="003C0196" w:rsidTr="00154D56">
        <w:trPr>
          <w:trHeight w:val="297"/>
        </w:trPr>
        <w:tc>
          <w:tcPr>
            <w:tcW w:w="8917" w:type="dxa"/>
            <w:tcBorders>
              <w:top w:val="nil"/>
              <w:left w:val="nil"/>
              <w:bottom w:val="nil"/>
              <w:right w:val="nil"/>
            </w:tcBorders>
            <w:shd w:val="clear" w:color="auto" w:fill="auto"/>
            <w:noWrap/>
            <w:vAlign w:val="center"/>
            <w:hideMark/>
          </w:tcPr>
          <w:p w:rsidR="00F05BD1" w:rsidRPr="00B77E7A" w:rsidRDefault="00F05BD1" w:rsidP="00154D56">
            <w:pPr>
              <w:spacing w:after="0" w:line="240" w:lineRule="auto"/>
              <w:ind w:firstLineChars="500" w:firstLine="1100"/>
              <w:rPr>
                <w:rFonts w:cs="Calibri"/>
                <w:color w:val="000000"/>
              </w:rPr>
            </w:pPr>
            <w:r w:rsidRPr="00B77E7A">
              <w:rPr>
                <w:rFonts w:cs="Calibri"/>
                <w:color w:val="000000"/>
              </w:rPr>
              <w:t>7. Momentos contables del gasto</w:t>
            </w:r>
          </w:p>
        </w:tc>
      </w:tr>
      <w:tr w:rsidR="00F05BD1" w:rsidRPr="003C0196" w:rsidTr="00154D56">
        <w:trPr>
          <w:trHeight w:val="297"/>
        </w:trPr>
        <w:tc>
          <w:tcPr>
            <w:tcW w:w="8917" w:type="dxa"/>
            <w:tcBorders>
              <w:top w:val="nil"/>
              <w:left w:val="nil"/>
              <w:bottom w:val="nil"/>
              <w:right w:val="nil"/>
            </w:tcBorders>
            <w:shd w:val="clear" w:color="auto" w:fill="auto"/>
            <w:noWrap/>
            <w:vAlign w:val="center"/>
            <w:hideMark/>
          </w:tcPr>
          <w:p w:rsidR="00F05BD1" w:rsidRPr="00B77E7A" w:rsidRDefault="00F05BD1" w:rsidP="00154D56">
            <w:pPr>
              <w:spacing w:after="0" w:line="240" w:lineRule="auto"/>
              <w:ind w:firstLineChars="500" w:firstLine="1100"/>
              <w:rPr>
                <w:rFonts w:cs="Calibri"/>
                <w:color w:val="000000"/>
              </w:rPr>
            </w:pPr>
            <w:r w:rsidRPr="00B77E7A">
              <w:rPr>
                <w:rFonts w:cs="Calibri"/>
                <w:color w:val="000000"/>
              </w:rPr>
              <w:t>8. Momentos contables del ingreso</w:t>
            </w:r>
          </w:p>
        </w:tc>
      </w:tr>
      <w:tr w:rsidR="00F05BD1" w:rsidRPr="003C0196" w:rsidTr="00154D56">
        <w:trPr>
          <w:trHeight w:val="297"/>
        </w:trPr>
        <w:tc>
          <w:tcPr>
            <w:tcW w:w="8917" w:type="dxa"/>
            <w:tcBorders>
              <w:top w:val="nil"/>
              <w:left w:val="nil"/>
              <w:bottom w:val="nil"/>
              <w:right w:val="nil"/>
            </w:tcBorders>
            <w:shd w:val="clear" w:color="auto" w:fill="auto"/>
            <w:noWrap/>
            <w:vAlign w:val="center"/>
            <w:hideMark/>
          </w:tcPr>
          <w:p w:rsidR="00F05BD1" w:rsidRPr="00B77E7A" w:rsidRDefault="00F05BD1" w:rsidP="00154D56">
            <w:pPr>
              <w:spacing w:after="0" w:line="240" w:lineRule="auto"/>
              <w:ind w:firstLineChars="500" w:firstLine="1100"/>
              <w:rPr>
                <w:rFonts w:cs="Calibri"/>
                <w:color w:val="000000"/>
              </w:rPr>
            </w:pPr>
            <w:r w:rsidRPr="00B77E7A">
              <w:rPr>
                <w:rFonts w:cs="Calibri"/>
                <w:color w:val="000000"/>
              </w:rPr>
              <w:t>9. Manual de contabilidad gubernamental</w:t>
            </w:r>
          </w:p>
        </w:tc>
      </w:tr>
      <w:tr w:rsidR="00F05BD1" w:rsidRPr="003C0196" w:rsidTr="00154D56">
        <w:trPr>
          <w:trHeight w:val="297"/>
        </w:trPr>
        <w:tc>
          <w:tcPr>
            <w:tcW w:w="8917" w:type="dxa"/>
            <w:tcBorders>
              <w:top w:val="nil"/>
              <w:left w:val="nil"/>
              <w:bottom w:val="nil"/>
              <w:right w:val="nil"/>
            </w:tcBorders>
            <w:shd w:val="clear" w:color="auto" w:fill="auto"/>
            <w:noWrap/>
            <w:vAlign w:val="center"/>
            <w:hideMark/>
          </w:tcPr>
          <w:p w:rsidR="00F05BD1" w:rsidRPr="00B77E7A" w:rsidRDefault="00F05BD1" w:rsidP="00154D56">
            <w:pPr>
              <w:spacing w:after="0" w:line="240" w:lineRule="auto"/>
              <w:ind w:firstLineChars="500" w:firstLine="1100"/>
              <w:rPr>
                <w:rFonts w:cs="Calibri"/>
                <w:color w:val="000000"/>
              </w:rPr>
            </w:pPr>
            <w:r w:rsidRPr="00B77E7A">
              <w:rPr>
                <w:rFonts w:cs="Calibri"/>
                <w:color w:val="000000"/>
              </w:rPr>
              <w:t>10. Principales norm</w:t>
            </w:r>
            <w:r>
              <w:rPr>
                <w:rFonts w:cs="Calibri"/>
                <w:color w:val="000000"/>
              </w:rPr>
              <w:t>as de registro y valoración del patrimonio</w:t>
            </w:r>
          </w:p>
        </w:tc>
      </w:tr>
      <w:tr w:rsidR="00F05BD1" w:rsidRPr="003C0196" w:rsidTr="00154D56">
        <w:trPr>
          <w:trHeight w:val="297"/>
        </w:trPr>
        <w:tc>
          <w:tcPr>
            <w:tcW w:w="8917" w:type="dxa"/>
            <w:tcBorders>
              <w:top w:val="nil"/>
              <w:left w:val="nil"/>
              <w:bottom w:val="nil"/>
              <w:right w:val="nil"/>
            </w:tcBorders>
            <w:shd w:val="clear" w:color="auto" w:fill="auto"/>
            <w:noWrap/>
            <w:vAlign w:val="center"/>
            <w:hideMark/>
          </w:tcPr>
          <w:p w:rsidR="00F05BD1" w:rsidRDefault="00F05BD1" w:rsidP="00154D56">
            <w:pPr>
              <w:spacing w:after="0" w:line="240" w:lineRule="auto"/>
              <w:ind w:firstLineChars="500" w:firstLine="1100"/>
              <w:rPr>
                <w:rFonts w:cs="Calibri"/>
                <w:color w:val="000000"/>
              </w:rPr>
            </w:pPr>
            <w:r w:rsidRPr="00B77E7A">
              <w:rPr>
                <w:rFonts w:cs="Calibri"/>
                <w:color w:val="000000"/>
              </w:rPr>
              <w:t>11. Indicadores para medir avances físicos financieros</w:t>
            </w:r>
          </w:p>
          <w:p w:rsidR="00F05BD1" w:rsidRPr="00B77E7A" w:rsidRDefault="00F05BD1" w:rsidP="00154D56">
            <w:pPr>
              <w:spacing w:after="0" w:line="240" w:lineRule="auto"/>
              <w:ind w:firstLineChars="500" w:firstLine="1100"/>
              <w:rPr>
                <w:rFonts w:cs="Calibri"/>
                <w:color w:val="000000"/>
              </w:rPr>
            </w:pPr>
          </w:p>
        </w:tc>
      </w:tr>
    </w:tbl>
    <w:p w:rsidR="00F05BD1" w:rsidRDefault="00F05BD1" w:rsidP="00F05BD1">
      <w:pPr>
        <w:spacing w:after="0" w:line="240" w:lineRule="auto"/>
        <w:jc w:val="both"/>
        <w:rPr>
          <w:rFonts w:cs="Calibri"/>
          <w:color w:val="000000"/>
        </w:rPr>
      </w:pPr>
      <w:r w:rsidRPr="00F939E8">
        <w:rPr>
          <w:rFonts w:cs="Calibri"/>
          <w:color w:val="000000"/>
        </w:rPr>
        <w:t>A la fecha se está en proceso de concluir las actividades para dar cumplimiento a esta disposición.</w:t>
      </w:r>
    </w:p>
    <w:p w:rsidR="00F05BD1" w:rsidRPr="00F939E8" w:rsidRDefault="00F05BD1" w:rsidP="00F05BD1">
      <w:pPr>
        <w:spacing w:after="0" w:line="240" w:lineRule="auto"/>
        <w:jc w:val="both"/>
        <w:rPr>
          <w:rFonts w:cs="Calibri"/>
          <w:color w:val="000000"/>
        </w:rPr>
      </w:pPr>
    </w:p>
    <w:p w:rsidR="00F05BD1" w:rsidRDefault="00F05BD1" w:rsidP="00F05BD1">
      <w:pPr>
        <w:jc w:val="both"/>
      </w:pPr>
      <w:r w:rsidRPr="00F939E8">
        <w:t>A partir del 1° de enero de 2012 realizar registros contables con base acumulativa y en apego al marco conceptual, postulados básicos, normas y metodologías que establezcan los momentos contables, clasificadores y manuales de contabilidad gubernamental ar</w:t>
      </w:r>
      <w:r>
        <w:t>monizado</w:t>
      </w:r>
      <w:r w:rsidRPr="00F939E8">
        <w:t xml:space="preserve"> y de acuerdo con las respectivas matrices de conversión con las características señaladas en la Ley General de Contabilidad Gubernamental. Así mismo a partir de la fecha señalada deberán emitir información contable, presupuestaria y programática sobre la base técnica prevista en los documentos técnicos contables referidos.</w:t>
      </w:r>
    </w:p>
    <w:p w:rsidR="00275638" w:rsidRDefault="00275638" w:rsidP="00275638">
      <w:pPr>
        <w:jc w:val="both"/>
      </w:pPr>
      <w:r>
        <w:t xml:space="preserve">A la fecha se aplicó el acuerdo publicado el pasado 27 de septiembre de 2018 donde se reforman y adicionan las Normas y Metodología para la Determinación de los Momentos Contables de los Ingresos. </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F05BD1" w:rsidRDefault="00F05BD1" w:rsidP="00F05BD1">
      <w:pPr>
        <w:jc w:val="both"/>
      </w:pPr>
      <w:r w:rsidRPr="00EF3B04">
        <w:t>Norma específica de información financiera gubernamental del sector público - NEIFGSP 015 Registro contable del activo fijo.</w:t>
      </w:r>
    </w:p>
    <w:p w:rsidR="00F05BD1" w:rsidRDefault="00F05BD1" w:rsidP="00F05BD1">
      <w:pPr>
        <w:jc w:val="both"/>
      </w:pPr>
      <w:r w:rsidRPr="00EF3B04">
        <w:t>Normas información financiera gubernamental - NIFG 012 Inventarios y NIFG 017 Bienes muebles e inmuebles.</w:t>
      </w:r>
    </w:p>
    <w:p w:rsidR="007D1E76" w:rsidRPr="00F05BD1" w:rsidRDefault="00F05BD1" w:rsidP="00F05BD1">
      <w:pPr>
        <w:jc w:val="both"/>
      </w:pPr>
      <w:r w:rsidRPr="00EF3B04">
        <w:t>Norma específica de información financiera gubernamental - NEIFG004 Valor de uso, depreciación-revaluación.</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Postulados básicos.</w:t>
      </w:r>
    </w:p>
    <w:p w:rsidR="00F05BD1" w:rsidRPr="0090761C" w:rsidRDefault="00F05BD1" w:rsidP="00F05BD1">
      <w:pPr>
        <w:jc w:val="both"/>
        <w:rPr>
          <w:rFonts w:ascii="Arial" w:hAnsi="Arial" w:cs="Arial"/>
          <w:sz w:val="20"/>
          <w:szCs w:val="20"/>
        </w:rPr>
      </w:pPr>
      <w:r w:rsidRPr="00EF3B04">
        <w:lastRenderedPageBreak/>
        <w:t>El Organismo cumple con los elementos fundamentales que configuran el Sistema Gubernamental - Postulados básicos.</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F05BD1" w:rsidRDefault="00F05BD1" w:rsidP="00F05BD1">
      <w:pPr>
        <w:jc w:val="both"/>
      </w:pPr>
      <w:r w:rsidRPr="00AB274A">
        <w:t>Normas de información financiera (</w:t>
      </w:r>
      <w:proofErr w:type="spellStart"/>
      <w:r w:rsidRPr="00AB274A">
        <w:t>NIF's</w:t>
      </w:r>
      <w:proofErr w:type="spellEnd"/>
      <w:r w:rsidRPr="00AB274A">
        <w:t>).</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Para las entidades que por primera vez estén implementando la base devengado de acuerdo a la Ley de Contabilidad, deberán:</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*Revelar las nuevas políticas de reconocimiento:</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*Plan de implementación:</w:t>
      </w:r>
    </w:p>
    <w:p w:rsidR="00F05BD1" w:rsidRDefault="00F05BD1" w:rsidP="00F05BD1">
      <w:pPr>
        <w:jc w:val="both"/>
      </w:pPr>
      <w:r w:rsidRPr="00C80B8E">
        <w:t>El Organismo considera el ingreso devengado cuando existe jurídicamente el derecho de cobro con la emisión de la facturación y los gastos devengados cuando se reciben de conformidad los bienes, servicios y obra pública con el soporte documental correspondiente.</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*Revelar los cambios en las políticas, la clasificación y medición de las mismas, así como su impacto en la información financiera:</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6. Políticas de Contabilidad Significativas: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rsidR="00F05BD1" w:rsidRDefault="00F05BD1" w:rsidP="00F05BD1">
      <w:pPr>
        <w:jc w:val="both"/>
      </w:pPr>
      <w:r w:rsidRPr="00C80B8E">
        <w:t>Los estados financieros cumplen con las Normas de Información Financiera (</w:t>
      </w:r>
      <w:proofErr w:type="spellStart"/>
      <w:r w:rsidRPr="00C80B8E">
        <w:t>NIF's</w:t>
      </w:r>
      <w:proofErr w:type="spellEnd"/>
      <w:r w:rsidRPr="00C80B8E">
        <w:t xml:space="preserve">), Normas Específicas de Información Financiera Gubernamental del Sector Público (NEIFGSP), Normas Información Financiera Gubernamental (NIFG) y Normas Específica de Información Financiera Gubernamental (NEIFG), aplicables. Su preparación requiere que la administración de SAPAL, efectúe ciertas estimaciones y utilice determinados supuestos para valuar algunas de las partidas de los estados financieros y para efectuar las revelaciones que se requieren en los mismos. Sin embargo, los resultados reales pueden diferir de dichas </w:t>
      </w:r>
      <w:r w:rsidRPr="00C80B8E">
        <w:lastRenderedPageBreak/>
        <w:t>estimaciones. La administración de SAPAL aplicando el juicio profesional considera que las estimaciones y supuestos utilizados fueron los adecuados en las circunstancias. Las principales políticas contables seguidas son las siguientes:</w:t>
      </w:r>
    </w:p>
    <w:p w:rsidR="00F05BD1" w:rsidRDefault="00F05BD1" w:rsidP="00F05BD1">
      <w:pPr>
        <w:jc w:val="both"/>
      </w:pPr>
      <w:r w:rsidRPr="008842AD">
        <w:t>Reconocimiento de los efectos de la inflación: La inflación acumulada de los 3 ejercicios anuales a</w:t>
      </w:r>
      <w:r w:rsidR="00ED0980">
        <w:t>l 31 de diciembre de 201</w:t>
      </w:r>
      <w:r w:rsidR="002B1B8F">
        <w:t>9</w:t>
      </w:r>
      <w:r w:rsidR="00ED0980">
        <w:t xml:space="preserve"> es de</w:t>
      </w:r>
      <w:r w:rsidR="00257C8E">
        <w:t xml:space="preserve"> 1</w:t>
      </w:r>
      <w:r w:rsidR="002B1B8F">
        <w:t>4</w:t>
      </w:r>
      <w:r w:rsidR="00257C8E">
        <w:t>.</w:t>
      </w:r>
      <w:r w:rsidR="002B1B8F">
        <w:t>43</w:t>
      </w:r>
      <w:r w:rsidR="00ED0980">
        <w:t>%</w:t>
      </w:r>
      <w:r w:rsidRPr="008842AD">
        <w:t xml:space="preserve">; por lo tanto, el entorno económico califica como entorno económico no inflacionario, </w:t>
      </w:r>
      <w:r w:rsidR="00257C8E" w:rsidRPr="008842AD">
        <w:t>entendiéndose</w:t>
      </w:r>
      <w:r w:rsidRPr="008842AD">
        <w:t xml:space="preserve"> por este, cuando la inflación acumulada de los 3 ejercicios anuales anteriores es menor al 26%; en este caso, no se deben reconocer los efectos de la inflación en los Estados financieros. Los porcentajes de inflación por los años que terminaron a</w:t>
      </w:r>
      <w:r w:rsidR="00ED0980">
        <w:t>l 31 de diciembre de 201</w:t>
      </w:r>
      <w:r w:rsidR="002B1B8F">
        <w:t>9</w:t>
      </w:r>
      <w:r w:rsidR="00ED0980">
        <w:t xml:space="preserve"> y 201</w:t>
      </w:r>
      <w:r w:rsidR="002B1B8F">
        <w:t>8</w:t>
      </w:r>
      <w:r w:rsidR="00257C8E">
        <w:t xml:space="preserve">, fueron </w:t>
      </w:r>
      <w:r w:rsidR="002B1B8F">
        <w:t>2.83</w:t>
      </w:r>
      <w:r w:rsidR="00257C8E">
        <w:t xml:space="preserve">% y </w:t>
      </w:r>
      <w:r w:rsidR="005C6118">
        <w:t>4</w:t>
      </w:r>
      <w:r w:rsidR="00257C8E">
        <w:t>.</w:t>
      </w:r>
      <w:r w:rsidR="005C6118">
        <w:t>8</w:t>
      </w:r>
      <w:r w:rsidR="002B1B8F">
        <w:t>3</w:t>
      </w:r>
      <w:r w:rsidRPr="008842AD">
        <w:t>% respectivamente.</w:t>
      </w:r>
    </w:p>
    <w:p w:rsidR="00F05BD1" w:rsidRDefault="00F05BD1" w:rsidP="00F05BD1">
      <w:pPr>
        <w:jc w:val="both"/>
      </w:pPr>
      <w:r w:rsidRPr="008842AD">
        <w:t xml:space="preserve">A partir del 1° de Enero de 2008, SAPAL suspendió el reconocimiento de los efectos de la inflación en los estados financieros; sin embargo, los activos, pasivos y patrimonio incluyen los efectos de </w:t>
      </w:r>
      <w:proofErr w:type="spellStart"/>
      <w:r w:rsidRPr="008842AD">
        <w:t>reexpresión</w:t>
      </w:r>
      <w:proofErr w:type="spellEnd"/>
      <w:r w:rsidRPr="008842AD">
        <w:t xml:space="preserve"> reconocidos hasta el 31 de diciembre de 2007.</w:t>
      </w:r>
    </w:p>
    <w:p w:rsidR="00F05BD1" w:rsidRDefault="00F05BD1" w:rsidP="00F05BD1">
      <w:pPr>
        <w:jc w:val="both"/>
      </w:pPr>
      <w:r w:rsidRPr="008842AD">
        <w:t>El 1° de enero de 2008, SAPAL reclasificó la totalidad del saldo del Resultado por tenencia de activos no monetarios al Patrimonio.</w:t>
      </w:r>
    </w:p>
    <w:p w:rsidR="00F05BD1" w:rsidRDefault="00F05BD1" w:rsidP="00F05BD1">
      <w:pPr>
        <w:jc w:val="both"/>
      </w:pPr>
      <w:r w:rsidRPr="00D1078C">
        <w:t>Efectivo y equivalentes de efectivo: Consisten principalmente en depósitos bancarios en cuentas de cheques e inversiones en valores a corto plazo, de gran liquidez, fácilmente convertibles en efectivo y sujetos a riesgos poco significativos de cambio en valor. El efectivo se presenta a valor nominal y los equivalentes se valúan a su valor razonable, las fluctuaciones en su valor se reconocen en el Resultado Integral de Financiamiento (RIF) del periodo. Los equivalentes de efectivo están representados principalmen</w:t>
      </w:r>
      <w:r>
        <w:t>te por opciones de renta fija.</w:t>
      </w:r>
    </w:p>
    <w:p w:rsidR="00F05BD1" w:rsidRDefault="00F05BD1" w:rsidP="00F05BD1">
      <w:pPr>
        <w:jc w:val="both"/>
      </w:pPr>
      <w:r w:rsidRPr="00D1078C">
        <w:t>Aportaciones del gobierno federal, estatal y municipal. Las aportaciones del gobierno federal, estatal y municipal, se registran como Cuentas por cobrar a la firma del convenio correspondiente, registrando el importe establecido en el mismo.</w:t>
      </w:r>
    </w:p>
    <w:p w:rsidR="00F05BD1" w:rsidRPr="00702903" w:rsidRDefault="00F05BD1" w:rsidP="00960D1E">
      <w:pPr>
        <w:jc w:val="both"/>
        <w:rPr>
          <w:rFonts w:cs="Calibri"/>
          <w:color w:val="000000"/>
        </w:rPr>
      </w:pPr>
      <w:r w:rsidRPr="00D1078C">
        <w:t>Infraestructura, inmuebles, maquinaria y equipo. Se registran al costo de adquisición y/o construcción. Los saldos que provienen de adquisiciones realizadas hasta el 31 de diciembre de 2007, se actualizaron aplicando factores derivados del Índice Nacional de Precios al Consumidor (INPC) hast</w:t>
      </w:r>
      <w:r>
        <w:t>a esa fecha. La depreciación se</w:t>
      </w:r>
      <w:r w:rsidRPr="00D1078C">
        <w:t>a</w:t>
      </w:r>
      <w:r>
        <w:t xml:space="preserve"> </w:t>
      </w:r>
      <w:r w:rsidRPr="00D1078C">
        <w:t>calcula</w:t>
      </w:r>
      <w:r>
        <w:t>da</w:t>
      </w:r>
      <w:r w:rsidRPr="00D1078C">
        <w:t xml:space="preserve"> conforme al método de línea recta con base en la vida útil </w:t>
      </w:r>
      <w:r w:rsidR="00960D1E">
        <w:t>remanente de los activos.</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Informar sobre la realización de operaciones en el extranjero y de sus efectos en la información financiera gubernamental:</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Método de valuación de la inversión en acciones de Compañías subsidiarias no consolidadas y asociadas:</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Sistema y método de valuación de inventarios y costo de lo vendido:</w:t>
      </w:r>
    </w:p>
    <w:p w:rsidR="007D1E76" w:rsidRPr="00960D1E" w:rsidRDefault="00960D1E" w:rsidP="007D1E76">
      <w:pPr>
        <w:spacing w:after="0" w:line="240" w:lineRule="auto"/>
        <w:jc w:val="both"/>
      </w:pPr>
      <w:r>
        <w:t>E</w:t>
      </w:r>
      <w:r w:rsidRPr="00960D1E">
        <w:t>l método de valuación de inventarios es por promedios.</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rsidR="00F05BD1" w:rsidRDefault="00F05BD1" w:rsidP="00F05BD1">
      <w:pPr>
        <w:jc w:val="both"/>
      </w:pPr>
      <w:r w:rsidRPr="008842AD">
        <w:t>Se valúan en proporción a los servicios prestados, considerando los sueldos actuales y se reconoce el pasivo conforme se devengan. Incluye principalmente sueldos por pagar, vacaciones, prima vacacional e incentivos</w:t>
      </w:r>
      <w:r>
        <w:t>.</w:t>
      </w:r>
      <w:r w:rsidRPr="008842AD">
        <w:t xml:space="preserve"> </w:t>
      </w:r>
    </w:p>
    <w:p w:rsidR="00F05BD1" w:rsidRDefault="00F05BD1" w:rsidP="00F05BD1">
      <w:pPr>
        <w:jc w:val="both"/>
      </w:pPr>
      <w:r w:rsidRPr="008842AD">
        <w:t>Beneficios a los empleados por terminación, al retiro y otras</w:t>
      </w:r>
      <w:r>
        <w:t>. El pasivo por primas de antigü</w:t>
      </w:r>
      <w:r w:rsidRPr="008842AD">
        <w:t>edad e indemnizaciones por terminación de la relación laboral se registra conforme se devenga, el cual se calcula por actuarios independientes con base en el método de crédito unitario proyectado utilizando tasas de interés nominales.</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Provisiones: objetivo de su creación, monto y plazo:</w:t>
      </w:r>
    </w:p>
    <w:p w:rsidR="00F05BD1" w:rsidRDefault="00F05BD1" w:rsidP="00F05BD1">
      <w:pPr>
        <w:jc w:val="both"/>
      </w:pPr>
      <w:r w:rsidRPr="00765036">
        <w:t>Se reconocen cuando se tiene una obligación presente como resultado de un evento pasado, que probablemente resulte en la salida de recursos económicos y que pueda ser estimada razonablemente.</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g)</w:t>
      </w:r>
      <w:r w:rsidRPr="000B7810">
        <w:rPr>
          <w:rFonts w:ascii="Times New Roman" w:hAnsi="Times New Roman"/>
          <w:sz w:val="24"/>
          <w:szCs w:val="24"/>
        </w:rPr>
        <w:t xml:space="preserve"> Reservas: objetivo de su creación, monto y plazo:</w:t>
      </w:r>
    </w:p>
    <w:p w:rsidR="00ED0980" w:rsidRDefault="00ED0980" w:rsidP="00ED0980">
      <w:pPr>
        <w:spacing w:after="0" w:line="240" w:lineRule="auto"/>
        <w:jc w:val="both"/>
        <w:rPr>
          <w:rFonts w:ascii="Times New Roman" w:hAnsi="Times New Roman"/>
          <w:sz w:val="24"/>
          <w:szCs w:val="24"/>
        </w:rPr>
      </w:pPr>
    </w:p>
    <w:p w:rsidR="00ED0980" w:rsidRDefault="00ED0980" w:rsidP="00ED0980">
      <w:pPr>
        <w:spacing w:after="0" w:line="240" w:lineRule="auto"/>
        <w:jc w:val="both"/>
        <w:rPr>
          <w:rFonts w:ascii="Times New Roman" w:hAnsi="Times New Roman"/>
          <w:sz w:val="24"/>
          <w:szCs w:val="24"/>
        </w:rPr>
      </w:pPr>
      <w:r w:rsidRPr="00ED0980">
        <w:rPr>
          <w:rFonts w:ascii="Times New Roman" w:hAnsi="Times New Roman"/>
          <w:sz w:val="24"/>
          <w:szCs w:val="24"/>
        </w:rPr>
        <w:t>El criterio para la determinación de la estimación de cuentas incobrables, se toma como bas</w:t>
      </w:r>
      <w:r w:rsidR="00960D1E">
        <w:rPr>
          <w:rFonts w:ascii="Times New Roman" w:hAnsi="Times New Roman"/>
          <w:sz w:val="24"/>
          <w:szCs w:val="24"/>
        </w:rPr>
        <w:t>e los adeudos de 24 meses o más.</w:t>
      </w:r>
    </w:p>
    <w:p w:rsidR="00960D1E" w:rsidRPr="00ED0980" w:rsidRDefault="00960D1E" w:rsidP="00ED0980">
      <w:pPr>
        <w:spacing w:after="0" w:line="240" w:lineRule="auto"/>
        <w:jc w:val="both"/>
        <w:rPr>
          <w:rFonts w:ascii="Times New Roman" w:hAnsi="Times New Roman"/>
          <w:sz w:val="24"/>
          <w:szCs w:val="24"/>
        </w:rPr>
      </w:pPr>
    </w:p>
    <w:p w:rsidR="00ED0980" w:rsidRDefault="00960D1E" w:rsidP="00ED0980">
      <w:pPr>
        <w:spacing w:after="0" w:line="240" w:lineRule="auto"/>
        <w:jc w:val="both"/>
        <w:rPr>
          <w:rFonts w:ascii="Times New Roman" w:hAnsi="Times New Roman"/>
          <w:sz w:val="24"/>
          <w:szCs w:val="24"/>
        </w:rPr>
      </w:pPr>
      <w:r>
        <w:rPr>
          <w:rFonts w:ascii="Times New Roman" w:hAnsi="Times New Roman"/>
          <w:sz w:val="24"/>
          <w:szCs w:val="24"/>
        </w:rPr>
        <w:t>El c</w:t>
      </w:r>
      <w:r w:rsidR="00ED0980" w:rsidRPr="00ED0980">
        <w:rPr>
          <w:rFonts w:ascii="Times New Roman" w:hAnsi="Times New Roman"/>
          <w:sz w:val="24"/>
          <w:szCs w:val="24"/>
        </w:rPr>
        <w:t>riterio para</w:t>
      </w:r>
      <w:r>
        <w:rPr>
          <w:rFonts w:ascii="Times New Roman" w:hAnsi="Times New Roman"/>
          <w:sz w:val="24"/>
          <w:szCs w:val="24"/>
        </w:rPr>
        <w:t xml:space="preserve"> obsolescencia de inventarios es el</w:t>
      </w:r>
      <w:r w:rsidR="00C055DA">
        <w:rPr>
          <w:rFonts w:ascii="Times New Roman" w:hAnsi="Times New Roman"/>
          <w:sz w:val="24"/>
          <w:szCs w:val="24"/>
        </w:rPr>
        <w:t xml:space="preserve"> </w:t>
      </w:r>
      <w:r w:rsidR="00ED0980" w:rsidRPr="00ED0980">
        <w:rPr>
          <w:rFonts w:ascii="Times New Roman" w:hAnsi="Times New Roman"/>
          <w:sz w:val="24"/>
          <w:szCs w:val="24"/>
        </w:rPr>
        <w:t>2% del saldo del inventario al 31 de diciembre del ejercicio.</w:t>
      </w:r>
    </w:p>
    <w:p w:rsidR="00ED0980" w:rsidRDefault="00ED0980" w:rsidP="00ED0980">
      <w:pPr>
        <w:spacing w:after="0" w:line="240" w:lineRule="auto"/>
        <w:jc w:val="both"/>
        <w:rPr>
          <w:rFonts w:ascii="Times New Roman" w:hAnsi="Times New Roman"/>
          <w:sz w:val="24"/>
          <w:szCs w:val="24"/>
        </w:rPr>
      </w:pPr>
    </w:p>
    <w:p w:rsidR="007D1E76" w:rsidRPr="000B7810" w:rsidRDefault="007D1E76" w:rsidP="00ED0980">
      <w:pPr>
        <w:spacing w:after="0" w:line="240" w:lineRule="auto"/>
        <w:jc w:val="both"/>
        <w:rPr>
          <w:rFonts w:ascii="Times New Roman" w:hAnsi="Times New Roman"/>
          <w:sz w:val="24"/>
          <w:szCs w:val="24"/>
        </w:rPr>
      </w:pPr>
      <w:r w:rsidRPr="000B7810">
        <w:rPr>
          <w:rFonts w:ascii="Times New Roman" w:hAnsi="Times New Roman"/>
          <w:b/>
          <w:sz w:val="24"/>
          <w:szCs w:val="24"/>
        </w:rPr>
        <w:t>h)</w:t>
      </w:r>
      <w:r w:rsidRPr="000B7810">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rsidR="007D1E76" w:rsidRDefault="00CC45CE" w:rsidP="007D1E76">
      <w:pPr>
        <w:spacing w:after="0" w:line="240" w:lineRule="auto"/>
        <w:jc w:val="both"/>
        <w:rPr>
          <w:rFonts w:ascii="Times New Roman" w:hAnsi="Times New Roman"/>
          <w:sz w:val="24"/>
          <w:szCs w:val="24"/>
        </w:rPr>
      </w:pPr>
      <w:r>
        <w:rPr>
          <w:rFonts w:ascii="Times New Roman" w:hAnsi="Times New Roman"/>
          <w:sz w:val="24"/>
          <w:szCs w:val="24"/>
        </w:rPr>
        <w:t>Se consideran los procesos de recuperación del Saldo a favor de IVA como No circulante, al no tener una fecha establecida por la autoridad.</w:t>
      </w:r>
    </w:p>
    <w:p w:rsidR="00CC45CE" w:rsidRDefault="00CC45CE" w:rsidP="007D1E76">
      <w:pPr>
        <w:spacing w:after="0" w:line="240" w:lineRule="auto"/>
        <w:jc w:val="both"/>
        <w:rPr>
          <w:rFonts w:ascii="Times New Roman" w:hAnsi="Times New Roman"/>
          <w:sz w:val="24"/>
          <w:szCs w:val="24"/>
        </w:rPr>
      </w:pPr>
      <w:r>
        <w:rPr>
          <w:rFonts w:ascii="Times New Roman" w:hAnsi="Times New Roman"/>
          <w:sz w:val="24"/>
          <w:szCs w:val="24"/>
        </w:rPr>
        <w:t>Se considera la provisión reconocida para el contrato de prestación de servicios del Zapotillo como pasivo a Largo Plazo, al no tener fecha establecida por la autoridad.</w:t>
      </w:r>
    </w:p>
    <w:p w:rsidR="00CC45CE" w:rsidRPr="000B7810" w:rsidRDefault="00CC45CE"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i)</w:t>
      </w:r>
      <w:r w:rsidRPr="000B7810">
        <w:rPr>
          <w:rFonts w:ascii="Times New Roman" w:hAnsi="Times New Roman"/>
          <w:sz w:val="24"/>
          <w:szCs w:val="24"/>
        </w:rPr>
        <w:t xml:space="preserve"> Reclasificaciones: Se deben revelar todos aquellos movimientos entre cuentas por efectos de cambios en los tipos de operaciones:</w:t>
      </w:r>
    </w:p>
    <w:p w:rsidR="00CC45CE" w:rsidRDefault="00CC45CE" w:rsidP="00CC45CE">
      <w:pPr>
        <w:spacing w:after="0" w:line="240" w:lineRule="auto"/>
        <w:jc w:val="both"/>
        <w:rPr>
          <w:rFonts w:ascii="Times New Roman" w:hAnsi="Times New Roman"/>
          <w:sz w:val="24"/>
          <w:szCs w:val="24"/>
        </w:rPr>
      </w:pPr>
      <w:r>
        <w:rPr>
          <w:rFonts w:ascii="Times New Roman" w:hAnsi="Times New Roman"/>
          <w:sz w:val="24"/>
          <w:szCs w:val="24"/>
        </w:rPr>
        <w:t>Se consideran los procesos de recuperación del Saldo a favor de IVA como No circulante, al no tener una fecha establecida por la autoridad.</w:t>
      </w:r>
    </w:p>
    <w:p w:rsidR="007D1E76" w:rsidRDefault="00CC45CE" w:rsidP="00CC45CE">
      <w:pPr>
        <w:spacing w:after="0" w:line="240" w:lineRule="auto"/>
        <w:jc w:val="both"/>
        <w:rPr>
          <w:rFonts w:ascii="Times New Roman" w:hAnsi="Times New Roman"/>
          <w:sz w:val="24"/>
          <w:szCs w:val="24"/>
        </w:rPr>
      </w:pPr>
      <w:r>
        <w:rPr>
          <w:rFonts w:ascii="Times New Roman" w:hAnsi="Times New Roman"/>
          <w:sz w:val="24"/>
          <w:szCs w:val="24"/>
        </w:rPr>
        <w:lastRenderedPageBreak/>
        <w:t>Se considera la provisión reconocida para el contrato de prestación de servicios del Zapotillo como pasivo a Largo Plazo, al no tener fecha establecida por la autoridad</w:t>
      </w:r>
      <w:r>
        <w:rPr>
          <w:rFonts w:ascii="Times New Roman" w:hAnsi="Times New Roman"/>
          <w:sz w:val="24"/>
          <w:szCs w:val="24"/>
        </w:rPr>
        <w:t>.</w:t>
      </w:r>
    </w:p>
    <w:p w:rsidR="00CC45CE" w:rsidRPr="000B7810" w:rsidRDefault="00CC45CE" w:rsidP="00CC45CE">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j)</w:t>
      </w:r>
      <w:r w:rsidRPr="000B7810">
        <w:rPr>
          <w:rFonts w:ascii="Times New Roman" w:hAnsi="Times New Roman"/>
          <w:sz w:val="24"/>
          <w:szCs w:val="24"/>
        </w:rPr>
        <w:t xml:space="preserve"> Depuración y cancelación de saldos:</w:t>
      </w: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7. Posición en Moneda Extranjera y Protección por Riesgo Cambiario:</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Activos en moneda extranjera:</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Pasivos en moneda extranjera:</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 xml:space="preserve">c) </w:t>
      </w:r>
      <w:r w:rsidRPr="000B7810">
        <w:rPr>
          <w:rFonts w:ascii="Times New Roman" w:hAnsi="Times New Roman"/>
          <w:sz w:val="24"/>
          <w:szCs w:val="24"/>
        </w:rPr>
        <w:t>Posición en moneda extranjera:</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Tipo de cambio:</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 xml:space="preserve">e) </w:t>
      </w:r>
      <w:r w:rsidRPr="000B7810">
        <w:rPr>
          <w:rFonts w:ascii="Times New Roman" w:hAnsi="Times New Roman"/>
          <w:sz w:val="24"/>
          <w:szCs w:val="24"/>
        </w:rPr>
        <w:t>Equivalente en moneda nacional:</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Lo anterior por cada tipo de moneda extranjera que se encuentre en los rubros de activo y pasivo.</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Adicionalmente se informará sobre los métodos de protección de riesgo por variaciones en el tipo de cambio.</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8. Reporte Analítico del Activo:</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lastRenderedPageBreak/>
        <w:t>Debe mostrar la siguiente información:</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Vida útil o porcentajes de depreciación, deterioro o amortización utilizados en los diferentes tipos de activos:</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Cambios en el porcentaje de depreciación o valor residual de los activos:</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Importe de los gastos capitalizados en el ejercicio, tanto financieros como de investigación y desarrollo:</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Riegos por tipo de cambio o tipo de interés de las inversiones financieras:</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 xml:space="preserve">e) </w:t>
      </w:r>
      <w:r w:rsidRPr="000B7810">
        <w:rPr>
          <w:rFonts w:ascii="Times New Roman" w:hAnsi="Times New Roman"/>
          <w:sz w:val="24"/>
          <w:szCs w:val="24"/>
        </w:rPr>
        <w:t>Valor activado en el ejercicio de los bienes construidos por la entidad:</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g)</w:t>
      </w:r>
      <w:r w:rsidRPr="000B7810">
        <w:rPr>
          <w:rFonts w:ascii="Times New Roman" w:hAnsi="Times New Roman"/>
          <w:sz w:val="24"/>
          <w:szCs w:val="24"/>
        </w:rPr>
        <w:t xml:space="preserve"> Desmantelamiento de Activos, procedimientos, implicaciones, efectos contables:</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h)</w:t>
      </w:r>
      <w:r w:rsidRPr="000B7810">
        <w:rPr>
          <w:rFonts w:ascii="Times New Roman" w:hAnsi="Times New Roman"/>
          <w:sz w:val="24"/>
          <w:szCs w:val="24"/>
        </w:rPr>
        <w:t xml:space="preserve"> Administración de activos; planeación con el objetivo de que el ente los utilice de manera más efectiva:</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w:t>
      </w:r>
      <w:r w:rsidRPr="000B7810">
        <w:rPr>
          <w:rFonts w:ascii="Times New Roman" w:hAnsi="Times New Roman"/>
          <w:sz w:val="24"/>
          <w:szCs w:val="24"/>
        </w:rPr>
        <w:lastRenderedPageBreak/>
        <w:t>______________________________________________________________________________</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Adicionalmente, se deben incluir las explicaciones de las principales variaciones en el activo, en cuadros comparativos como sigue:</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Inversiones en valores:</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Patrimonio de Organismos descentralizados de Control Presupuestario Indirecto:</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Inversiones en empresas de participación mayoritaria:</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Inversiones en empresas de participación minoritaria:</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Patrimonio de organismos descentralizados de control presupuestario directo, según corresponda:</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9. Fideicomisos, Mandatos y Análogos: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deberá informar:</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Por ramo administrativo que los reporta:</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Enlistar los de mayor monto de disponibilidad, relacionando aquéllos que conforman el 80% de las disponibilidades:</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10. Reporte de la Recaudación:</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Análisis del comportamiento de la recaudación correspondiente al ente público o cualquier tipo de ingreso, de forma separada los ingresos locales de los federales:</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Proyección de la recaudación e ingresos en el mediano plazo:</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11. Información sobre la Deuda y el Reporte Analítico de la Deuda:</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lo siguiente:</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Utilizar al menos los siguientes indicadores: deuda respecto al PIB y deuda respecto a la recaudación tomando, como mínimo, un período igual o menor a 5 años.</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 Se anexara la información en las notas de desglose.</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12. Calificaciones otorgadas: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Informar, tanto del ente público como cualquier transacción realizada, que haya sido sujeta a una calificación crediticia:</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13. Proceso de Mejora:</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de:</w:t>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Principales Políticas de control interno:</w:t>
      </w:r>
    </w:p>
    <w:p w:rsidR="007D1E76" w:rsidRPr="001463C7" w:rsidRDefault="001463C7" w:rsidP="001463C7">
      <w:r w:rsidRPr="001463C7">
        <w:t>Las políticas de control interno se encuentran en el Sistema de Gestión Integral con base en las normas ISO</w:t>
      </w:r>
      <w:r>
        <w:t>-</w:t>
      </w:r>
      <w:r w:rsidRPr="001463C7">
        <w:t>9001:2000</w:t>
      </w:r>
      <w:r>
        <w:t xml:space="preserve"> e </w:t>
      </w:r>
      <w:r w:rsidRPr="001463C7">
        <w:t>ISO</w:t>
      </w:r>
      <w:r>
        <w:t>-</w:t>
      </w:r>
      <w:r w:rsidRPr="001463C7">
        <w:t>14001:2004</w:t>
      </w:r>
    </w:p>
    <w:p w:rsidR="007D1E76" w:rsidRPr="001463C7"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lastRenderedPageBreak/>
        <w:t>b)</w:t>
      </w:r>
      <w:r w:rsidRPr="000B7810">
        <w:rPr>
          <w:rFonts w:ascii="Times New Roman" w:hAnsi="Times New Roman"/>
          <w:sz w:val="24"/>
          <w:szCs w:val="24"/>
        </w:rPr>
        <w:t xml:space="preserve"> Medidas de desempeño financiero, metas y alcance:</w:t>
      </w:r>
    </w:p>
    <w:p w:rsidR="007D1E76" w:rsidRPr="000B7810" w:rsidRDefault="001463C7" w:rsidP="001463C7">
      <w:pPr>
        <w:spacing w:after="0" w:line="240" w:lineRule="auto"/>
        <w:rPr>
          <w:rFonts w:ascii="Times New Roman" w:hAnsi="Times New Roman"/>
          <w:sz w:val="24"/>
          <w:szCs w:val="24"/>
        </w:rPr>
      </w:pPr>
      <w:r w:rsidRPr="001463C7">
        <w:t>Se</w:t>
      </w:r>
      <w:r>
        <w:t xml:space="preserve"> </w:t>
      </w:r>
      <w:r w:rsidRPr="001463C7">
        <w:t>encu</w:t>
      </w:r>
      <w:r>
        <w:t xml:space="preserve">entran comprendidas en el Programa Operativo Anual (POA) </w:t>
      </w:r>
      <w:r w:rsidRPr="001463C7">
        <w:t xml:space="preserve"> </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14. Información por Segmentos: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Consecuentemente, esta información contribuye al análisis más preciso de la situación financiera, grados y fuentes de riesgo y crecimiento potencial de negocio.</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15. Eventos Posteriores al Cierre:</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7D1E76" w:rsidRPr="000B7810" w:rsidRDefault="007D1E76" w:rsidP="007D1E76">
      <w:pPr>
        <w:spacing w:after="0" w:line="240" w:lineRule="auto"/>
        <w:jc w:val="both"/>
        <w:rPr>
          <w:rFonts w:ascii="Times New Roman" w:hAnsi="Times New Roman"/>
          <w:sz w:val="24"/>
          <w:szCs w:val="24"/>
        </w:rPr>
      </w:pPr>
    </w:p>
    <w:p w:rsidR="00120122"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 xml:space="preserve">El ente público informará el efecto en sus estados financieros de aquellos hechos ocurridos en el período posterior al que informa, que proporcionan mayor evidencia sobre eventos que le </w:t>
      </w:r>
      <w:r w:rsidR="00424E92" w:rsidRPr="000B7810">
        <w:rPr>
          <w:rFonts w:ascii="Times New Roman" w:hAnsi="Times New Roman"/>
          <w:sz w:val="24"/>
          <w:szCs w:val="24"/>
        </w:rPr>
        <w:t>afectan económicamente</w:t>
      </w:r>
      <w:r w:rsidRPr="000B7810">
        <w:rPr>
          <w:rFonts w:ascii="Times New Roman" w:hAnsi="Times New Roman"/>
          <w:sz w:val="24"/>
          <w:szCs w:val="24"/>
        </w:rPr>
        <w:t xml:space="preserve"> y que no se conocían a la fecha de cierre.</w:t>
      </w:r>
      <w:r w:rsidRPr="000B7810">
        <w:rPr>
          <w:rFonts w:ascii="Times New Roman" w:hAnsi="Times New Roman"/>
          <w:sz w:val="24"/>
          <w:szCs w:val="24"/>
        </w:rPr>
        <w:tab/>
      </w:r>
    </w:p>
    <w:p w:rsidR="00120122" w:rsidRDefault="00120122" w:rsidP="007D1E76">
      <w:pPr>
        <w:spacing w:after="0" w:line="240" w:lineRule="auto"/>
        <w:jc w:val="both"/>
        <w:rPr>
          <w:rFonts w:ascii="Times New Roman" w:hAnsi="Times New Roman"/>
          <w:sz w:val="24"/>
          <w:szCs w:val="24"/>
        </w:rPr>
      </w:pPr>
    </w:p>
    <w:p w:rsidR="00350195" w:rsidRPr="00350195" w:rsidRDefault="00350195" w:rsidP="00350195">
      <w:pPr>
        <w:jc w:val="both"/>
        <w:rPr>
          <w:rFonts w:ascii="Times New Roman" w:hAnsi="Times New Roman"/>
          <w:sz w:val="24"/>
          <w:szCs w:val="24"/>
        </w:rPr>
      </w:pPr>
      <w:r w:rsidRPr="00350195">
        <w:rPr>
          <w:rFonts w:ascii="Times New Roman" w:hAnsi="Times New Roman"/>
          <w:sz w:val="24"/>
          <w:szCs w:val="24"/>
        </w:rPr>
        <w:t xml:space="preserve">El 23 de junio de 2020, se publicó en el periódico oficial del Estado de Guanajuato, el Reglamento de los Servicios de Agua Potable, Alcantarillado y Tratamiento para el Municipio de León, Guanajuato, estableciendo en el artículo cuarto transitorio, el inicio del proceso de fusión del SAPAL Rural con el SAPAL a partir de la fecha de publicación del Reglamento, con la finalidad de simplificar la operación, y administración del servicio público en la zona rural del Municipio, se ha estado reconociendo información a efectos de integrarse en </w:t>
      </w:r>
      <w:r w:rsidRPr="00350195">
        <w:rPr>
          <w:rFonts w:ascii="Times New Roman" w:hAnsi="Times New Roman"/>
          <w:b/>
          <w:sz w:val="24"/>
          <w:szCs w:val="24"/>
        </w:rPr>
        <w:t>el proceso de fusión</w:t>
      </w:r>
      <w:r w:rsidRPr="00350195">
        <w:rPr>
          <w:rFonts w:ascii="Times New Roman" w:hAnsi="Times New Roman"/>
          <w:sz w:val="24"/>
          <w:szCs w:val="24"/>
        </w:rPr>
        <w:t>, con el objeto de asegurar la operatividad y cumplimiento en las obligaciones de la entidad a fusionar.</w:t>
      </w:r>
    </w:p>
    <w:p w:rsidR="00350195" w:rsidRPr="00350195" w:rsidRDefault="00350195" w:rsidP="00350195">
      <w:pPr>
        <w:jc w:val="both"/>
        <w:rPr>
          <w:rFonts w:ascii="Times New Roman" w:hAnsi="Times New Roman"/>
          <w:sz w:val="24"/>
          <w:szCs w:val="24"/>
        </w:rPr>
      </w:pPr>
      <w:r w:rsidRPr="00350195">
        <w:rPr>
          <w:rFonts w:ascii="Times New Roman" w:hAnsi="Times New Roman"/>
          <w:sz w:val="24"/>
          <w:szCs w:val="24"/>
        </w:rPr>
        <w:t>Como parte del proceso de fusión, se reconocieron en el mes de agosto de 2020 al SAPAL las siguientes cifras:</w:t>
      </w:r>
    </w:p>
    <w:tbl>
      <w:tblPr>
        <w:tblW w:w="6240" w:type="dxa"/>
        <w:tblCellMar>
          <w:left w:w="70" w:type="dxa"/>
          <w:right w:w="70" w:type="dxa"/>
        </w:tblCellMar>
        <w:tblLook w:val="04A0" w:firstRow="1" w:lastRow="0" w:firstColumn="1" w:lastColumn="0" w:noHBand="0" w:noVBand="1"/>
      </w:tblPr>
      <w:tblGrid>
        <w:gridCol w:w="1180"/>
        <w:gridCol w:w="3420"/>
        <w:gridCol w:w="1640"/>
      </w:tblGrid>
      <w:tr w:rsidR="00350195" w:rsidRPr="00787B80" w:rsidTr="00F40EE6">
        <w:trPr>
          <w:trHeight w:val="540"/>
        </w:trPr>
        <w:tc>
          <w:tcPr>
            <w:tcW w:w="1180" w:type="dxa"/>
            <w:tcBorders>
              <w:top w:val="single" w:sz="4" w:space="0" w:color="BFBFBF"/>
              <w:left w:val="single" w:sz="4" w:space="0" w:color="BFBFBF"/>
              <w:bottom w:val="nil"/>
              <w:right w:val="single" w:sz="4" w:space="0" w:color="BFBFBF"/>
            </w:tcBorders>
            <w:shd w:val="clear" w:color="auto" w:fill="00B050"/>
            <w:noWrap/>
            <w:vAlign w:val="center"/>
            <w:hideMark/>
          </w:tcPr>
          <w:p w:rsidR="00350195" w:rsidRPr="00787B80" w:rsidRDefault="00350195" w:rsidP="00F40EE6">
            <w:pPr>
              <w:spacing w:after="0" w:line="240" w:lineRule="auto"/>
              <w:jc w:val="center"/>
              <w:rPr>
                <w:rFonts w:eastAsia="Times New Roman" w:cs="Calibri"/>
                <w:b/>
                <w:bCs/>
                <w:color w:val="FFFFFF"/>
                <w:lang w:eastAsia="es-MX"/>
              </w:rPr>
            </w:pPr>
            <w:r w:rsidRPr="00787B80">
              <w:rPr>
                <w:rFonts w:eastAsia="Times New Roman" w:cs="Calibri"/>
                <w:b/>
                <w:bCs/>
                <w:color w:val="FFFFFF"/>
                <w:lang w:eastAsia="es-MX"/>
              </w:rPr>
              <w:t>CUENTA</w:t>
            </w:r>
          </w:p>
        </w:tc>
        <w:tc>
          <w:tcPr>
            <w:tcW w:w="3420" w:type="dxa"/>
            <w:tcBorders>
              <w:top w:val="single" w:sz="4" w:space="0" w:color="BFBFBF"/>
              <w:left w:val="nil"/>
              <w:bottom w:val="nil"/>
              <w:right w:val="single" w:sz="4" w:space="0" w:color="BFBFBF"/>
            </w:tcBorders>
            <w:shd w:val="clear" w:color="auto" w:fill="00B050"/>
            <w:noWrap/>
            <w:vAlign w:val="center"/>
            <w:hideMark/>
          </w:tcPr>
          <w:p w:rsidR="00350195" w:rsidRPr="00787B80" w:rsidRDefault="00350195" w:rsidP="00F40EE6">
            <w:pPr>
              <w:spacing w:after="0" w:line="240" w:lineRule="auto"/>
              <w:jc w:val="center"/>
              <w:rPr>
                <w:rFonts w:eastAsia="Times New Roman" w:cs="Calibri"/>
                <w:b/>
                <w:bCs/>
                <w:color w:val="FFFFFF"/>
                <w:lang w:eastAsia="es-MX"/>
              </w:rPr>
            </w:pPr>
            <w:r w:rsidRPr="00787B80">
              <w:rPr>
                <w:rFonts w:eastAsia="Times New Roman" w:cs="Calibri"/>
                <w:b/>
                <w:bCs/>
                <w:color w:val="FFFFFF"/>
                <w:lang w:eastAsia="es-MX"/>
              </w:rPr>
              <w:t>DESCRIPCIÓN</w:t>
            </w:r>
          </w:p>
        </w:tc>
        <w:tc>
          <w:tcPr>
            <w:tcW w:w="1640" w:type="dxa"/>
            <w:tcBorders>
              <w:top w:val="single" w:sz="4" w:space="0" w:color="BFBFBF"/>
              <w:left w:val="nil"/>
              <w:bottom w:val="nil"/>
              <w:right w:val="single" w:sz="4" w:space="0" w:color="BFBFBF"/>
            </w:tcBorders>
            <w:shd w:val="clear" w:color="auto" w:fill="00B050"/>
            <w:noWrap/>
            <w:vAlign w:val="center"/>
            <w:hideMark/>
          </w:tcPr>
          <w:p w:rsidR="00350195" w:rsidRPr="00787B80" w:rsidRDefault="00350195" w:rsidP="00F40EE6">
            <w:pPr>
              <w:spacing w:after="0" w:line="240" w:lineRule="auto"/>
              <w:jc w:val="center"/>
              <w:rPr>
                <w:rFonts w:eastAsia="Times New Roman" w:cs="Calibri"/>
                <w:b/>
                <w:bCs/>
                <w:color w:val="FFFFFF"/>
                <w:lang w:eastAsia="es-MX"/>
              </w:rPr>
            </w:pPr>
            <w:r w:rsidRPr="00787B80">
              <w:rPr>
                <w:rFonts w:eastAsia="Times New Roman" w:cs="Calibri"/>
                <w:b/>
                <w:bCs/>
                <w:color w:val="FFFFFF"/>
                <w:lang w:eastAsia="es-MX"/>
              </w:rPr>
              <w:t>IMPORTE</w:t>
            </w:r>
          </w:p>
        </w:tc>
      </w:tr>
      <w:tr w:rsidR="00350195" w:rsidRPr="00787B80" w:rsidTr="00F40EE6">
        <w:trPr>
          <w:trHeight w:val="540"/>
        </w:trPr>
        <w:tc>
          <w:tcPr>
            <w:tcW w:w="1180" w:type="dxa"/>
            <w:tcBorders>
              <w:top w:val="nil"/>
              <w:left w:val="single" w:sz="4" w:space="0" w:color="BFBFBF"/>
              <w:bottom w:val="nil"/>
              <w:right w:val="single" w:sz="4" w:space="0" w:color="BFBFBF"/>
            </w:tcBorders>
            <w:shd w:val="clear" w:color="auto" w:fill="auto"/>
            <w:noWrap/>
            <w:vAlign w:val="center"/>
            <w:hideMark/>
          </w:tcPr>
          <w:p w:rsidR="00350195" w:rsidRPr="00787B80" w:rsidRDefault="00350195" w:rsidP="00F40EE6">
            <w:pPr>
              <w:spacing w:after="0" w:line="240" w:lineRule="auto"/>
              <w:jc w:val="right"/>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112211001</w:t>
            </w:r>
          </w:p>
        </w:tc>
        <w:tc>
          <w:tcPr>
            <w:tcW w:w="342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eastAsia="Times New Roman" w:cs="Calibri"/>
                <w:color w:val="000000"/>
                <w:lang w:eastAsia="es-MX"/>
              </w:rPr>
            </w:pPr>
            <w:r w:rsidRPr="00787B80">
              <w:rPr>
                <w:rFonts w:eastAsia="Times New Roman" w:cs="Calibri"/>
                <w:color w:val="000000"/>
                <w:lang w:eastAsia="es-MX"/>
              </w:rPr>
              <w:t>CXC AGUA POTABLE</w:t>
            </w:r>
          </w:p>
        </w:tc>
        <w:tc>
          <w:tcPr>
            <w:tcW w:w="164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 xml:space="preserve"> $   7,436,398.64 </w:t>
            </w:r>
          </w:p>
        </w:tc>
      </w:tr>
      <w:tr w:rsidR="00350195" w:rsidRPr="00787B80" w:rsidTr="00F40EE6">
        <w:trPr>
          <w:trHeight w:val="540"/>
        </w:trPr>
        <w:tc>
          <w:tcPr>
            <w:tcW w:w="1180" w:type="dxa"/>
            <w:tcBorders>
              <w:top w:val="nil"/>
              <w:left w:val="single" w:sz="4" w:space="0" w:color="BFBFBF"/>
              <w:bottom w:val="nil"/>
              <w:right w:val="single" w:sz="4" w:space="0" w:color="BFBFBF"/>
            </w:tcBorders>
            <w:shd w:val="clear" w:color="auto" w:fill="auto"/>
            <w:noWrap/>
            <w:vAlign w:val="center"/>
            <w:hideMark/>
          </w:tcPr>
          <w:p w:rsidR="00350195" w:rsidRPr="00787B80" w:rsidRDefault="00350195" w:rsidP="00F40EE6">
            <w:pPr>
              <w:spacing w:after="0" w:line="240" w:lineRule="auto"/>
              <w:jc w:val="right"/>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112211002</w:t>
            </w:r>
          </w:p>
        </w:tc>
        <w:tc>
          <w:tcPr>
            <w:tcW w:w="342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eastAsia="Times New Roman" w:cs="Calibri"/>
                <w:color w:val="000000"/>
                <w:lang w:eastAsia="es-MX"/>
              </w:rPr>
            </w:pPr>
            <w:r w:rsidRPr="00787B80">
              <w:rPr>
                <w:rFonts w:eastAsia="Times New Roman" w:cs="Calibri"/>
                <w:color w:val="000000"/>
                <w:lang w:eastAsia="es-MX"/>
              </w:rPr>
              <w:t>CXC ALCANTARILLADO</w:t>
            </w:r>
          </w:p>
        </w:tc>
        <w:tc>
          <w:tcPr>
            <w:tcW w:w="164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 xml:space="preserve"> $      279,409.46 </w:t>
            </w:r>
          </w:p>
        </w:tc>
      </w:tr>
      <w:tr w:rsidR="00350195" w:rsidRPr="00787B80" w:rsidTr="00F40EE6">
        <w:trPr>
          <w:trHeight w:val="540"/>
        </w:trPr>
        <w:tc>
          <w:tcPr>
            <w:tcW w:w="1180" w:type="dxa"/>
            <w:tcBorders>
              <w:top w:val="nil"/>
              <w:left w:val="single" w:sz="4" w:space="0" w:color="BFBFBF"/>
              <w:bottom w:val="nil"/>
              <w:right w:val="single" w:sz="4" w:space="0" w:color="BFBFBF"/>
            </w:tcBorders>
            <w:shd w:val="clear" w:color="auto" w:fill="auto"/>
            <w:noWrap/>
            <w:vAlign w:val="center"/>
            <w:hideMark/>
          </w:tcPr>
          <w:p w:rsidR="00350195" w:rsidRPr="00787B80" w:rsidRDefault="00350195" w:rsidP="00F40EE6">
            <w:pPr>
              <w:spacing w:after="0" w:line="240" w:lineRule="auto"/>
              <w:jc w:val="right"/>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112211003</w:t>
            </w:r>
          </w:p>
        </w:tc>
        <w:tc>
          <w:tcPr>
            <w:tcW w:w="342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eastAsia="Times New Roman" w:cs="Calibri"/>
                <w:color w:val="000000"/>
                <w:lang w:eastAsia="es-MX"/>
              </w:rPr>
            </w:pPr>
            <w:r w:rsidRPr="00787B80">
              <w:rPr>
                <w:rFonts w:eastAsia="Times New Roman" w:cs="Calibri"/>
                <w:color w:val="000000"/>
                <w:lang w:eastAsia="es-MX"/>
              </w:rPr>
              <w:t>CXC SANEAMIENTO</w:t>
            </w:r>
          </w:p>
        </w:tc>
        <w:tc>
          <w:tcPr>
            <w:tcW w:w="164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 xml:space="preserve"> $      249,703.37 </w:t>
            </w:r>
          </w:p>
        </w:tc>
      </w:tr>
      <w:tr w:rsidR="00350195" w:rsidRPr="00787B80" w:rsidTr="00F40EE6">
        <w:trPr>
          <w:trHeight w:val="540"/>
        </w:trPr>
        <w:tc>
          <w:tcPr>
            <w:tcW w:w="1180" w:type="dxa"/>
            <w:tcBorders>
              <w:top w:val="nil"/>
              <w:left w:val="single" w:sz="4" w:space="0" w:color="BFBFBF"/>
              <w:bottom w:val="nil"/>
              <w:right w:val="single" w:sz="4" w:space="0" w:color="BFBFBF"/>
            </w:tcBorders>
            <w:shd w:val="clear" w:color="auto" w:fill="auto"/>
            <w:noWrap/>
            <w:vAlign w:val="center"/>
            <w:hideMark/>
          </w:tcPr>
          <w:p w:rsidR="00350195" w:rsidRPr="00787B80" w:rsidRDefault="00350195" w:rsidP="00F40EE6">
            <w:pPr>
              <w:spacing w:after="0" w:line="240" w:lineRule="auto"/>
              <w:jc w:val="right"/>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112211006</w:t>
            </w:r>
          </w:p>
        </w:tc>
        <w:tc>
          <w:tcPr>
            <w:tcW w:w="342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eastAsia="Times New Roman" w:cs="Calibri"/>
                <w:color w:val="000000"/>
                <w:lang w:eastAsia="es-MX"/>
              </w:rPr>
            </w:pPr>
            <w:r w:rsidRPr="00787B80">
              <w:rPr>
                <w:rFonts w:eastAsia="Times New Roman" w:cs="Calibri"/>
                <w:color w:val="000000"/>
                <w:lang w:eastAsia="es-MX"/>
              </w:rPr>
              <w:t>CXC RECEPCION DE AGUA RESIDUAL</w:t>
            </w:r>
          </w:p>
        </w:tc>
        <w:tc>
          <w:tcPr>
            <w:tcW w:w="164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 xml:space="preserve"> $        20,379.57 </w:t>
            </w:r>
          </w:p>
        </w:tc>
      </w:tr>
      <w:tr w:rsidR="00350195" w:rsidRPr="00787B80" w:rsidTr="00F40EE6">
        <w:trPr>
          <w:trHeight w:val="540"/>
        </w:trPr>
        <w:tc>
          <w:tcPr>
            <w:tcW w:w="1180" w:type="dxa"/>
            <w:tcBorders>
              <w:top w:val="nil"/>
              <w:left w:val="single" w:sz="4" w:space="0" w:color="BFBFBF"/>
              <w:bottom w:val="nil"/>
              <w:right w:val="single" w:sz="4" w:space="0" w:color="BFBFBF"/>
            </w:tcBorders>
            <w:shd w:val="clear" w:color="auto" w:fill="auto"/>
            <w:noWrap/>
            <w:vAlign w:val="center"/>
            <w:hideMark/>
          </w:tcPr>
          <w:p w:rsidR="00350195" w:rsidRPr="00787B80" w:rsidRDefault="00350195" w:rsidP="00F40EE6">
            <w:pPr>
              <w:spacing w:after="0" w:line="240" w:lineRule="auto"/>
              <w:jc w:val="right"/>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112214001</w:t>
            </w:r>
          </w:p>
        </w:tc>
        <w:tc>
          <w:tcPr>
            <w:tcW w:w="342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eastAsia="Times New Roman" w:cs="Calibri"/>
                <w:color w:val="000000"/>
                <w:lang w:eastAsia="es-MX"/>
              </w:rPr>
            </w:pPr>
            <w:r w:rsidRPr="00787B80">
              <w:rPr>
                <w:rFonts w:eastAsia="Times New Roman" w:cs="Calibri"/>
                <w:color w:val="000000"/>
                <w:lang w:eastAsia="es-MX"/>
              </w:rPr>
              <w:t>CXC APORTACIONES</w:t>
            </w:r>
          </w:p>
        </w:tc>
        <w:tc>
          <w:tcPr>
            <w:tcW w:w="164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 xml:space="preserve"> $   1,579,828.63 </w:t>
            </w:r>
          </w:p>
        </w:tc>
      </w:tr>
      <w:tr w:rsidR="00350195" w:rsidRPr="00787B80" w:rsidTr="00F40EE6">
        <w:trPr>
          <w:trHeight w:val="540"/>
        </w:trPr>
        <w:tc>
          <w:tcPr>
            <w:tcW w:w="1180" w:type="dxa"/>
            <w:tcBorders>
              <w:top w:val="nil"/>
              <w:left w:val="single" w:sz="4" w:space="0" w:color="BFBFBF"/>
              <w:bottom w:val="nil"/>
              <w:right w:val="single" w:sz="4" w:space="0" w:color="BFBFBF"/>
            </w:tcBorders>
            <w:shd w:val="clear" w:color="auto" w:fill="auto"/>
            <w:noWrap/>
            <w:vAlign w:val="center"/>
            <w:hideMark/>
          </w:tcPr>
          <w:p w:rsidR="00350195" w:rsidRPr="00787B80" w:rsidRDefault="00350195" w:rsidP="00F40EE6">
            <w:pPr>
              <w:spacing w:after="0" w:line="240" w:lineRule="auto"/>
              <w:jc w:val="right"/>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lastRenderedPageBreak/>
              <w:t>116111001</w:t>
            </w:r>
          </w:p>
        </w:tc>
        <w:tc>
          <w:tcPr>
            <w:tcW w:w="342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eastAsia="Times New Roman" w:cs="Calibri"/>
                <w:color w:val="000000"/>
                <w:lang w:eastAsia="es-MX"/>
              </w:rPr>
            </w:pPr>
            <w:r w:rsidRPr="00787B80">
              <w:rPr>
                <w:rFonts w:eastAsia="Times New Roman" w:cs="Calibri"/>
                <w:color w:val="000000"/>
                <w:lang w:eastAsia="es-MX"/>
              </w:rPr>
              <w:t>EST CTAS INCOB DE SERVICIOS</w:t>
            </w:r>
          </w:p>
        </w:tc>
        <w:tc>
          <w:tcPr>
            <w:tcW w:w="164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 xml:space="preserve"> $  (2,947,241.97)</w:t>
            </w:r>
          </w:p>
        </w:tc>
      </w:tr>
      <w:tr w:rsidR="00350195" w:rsidRPr="00787B80" w:rsidTr="00F40EE6">
        <w:trPr>
          <w:trHeight w:val="540"/>
        </w:trPr>
        <w:tc>
          <w:tcPr>
            <w:tcW w:w="1180" w:type="dxa"/>
            <w:tcBorders>
              <w:top w:val="nil"/>
              <w:left w:val="single" w:sz="4" w:space="0" w:color="BFBFBF"/>
              <w:bottom w:val="nil"/>
              <w:right w:val="single" w:sz="4" w:space="0" w:color="BFBFBF"/>
            </w:tcBorders>
            <w:shd w:val="clear" w:color="auto" w:fill="auto"/>
            <w:noWrap/>
            <w:vAlign w:val="center"/>
            <w:hideMark/>
          </w:tcPr>
          <w:p w:rsidR="00350195" w:rsidRPr="00787B80" w:rsidRDefault="00350195" w:rsidP="00F40EE6">
            <w:pPr>
              <w:spacing w:after="0" w:line="240" w:lineRule="auto"/>
              <w:jc w:val="right"/>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211712001</w:t>
            </w:r>
          </w:p>
        </w:tc>
        <w:tc>
          <w:tcPr>
            <w:tcW w:w="342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eastAsia="Times New Roman" w:cs="Calibri"/>
                <w:color w:val="000000"/>
                <w:lang w:eastAsia="es-MX"/>
              </w:rPr>
            </w:pPr>
            <w:r w:rsidRPr="00787B80">
              <w:rPr>
                <w:rFonts w:eastAsia="Times New Roman" w:cs="Calibri"/>
                <w:color w:val="000000"/>
                <w:lang w:eastAsia="es-MX"/>
              </w:rPr>
              <w:t>IVA X APLICAR</w:t>
            </w:r>
          </w:p>
        </w:tc>
        <w:tc>
          <w:tcPr>
            <w:tcW w:w="164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 xml:space="preserve"> $    (243,241.69)</w:t>
            </w:r>
          </w:p>
        </w:tc>
      </w:tr>
      <w:tr w:rsidR="00350195" w:rsidRPr="00787B80" w:rsidTr="00F40EE6">
        <w:trPr>
          <w:trHeight w:val="540"/>
        </w:trPr>
        <w:tc>
          <w:tcPr>
            <w:tcW w:w="1180" w:type="dxa"/>
            <w:tcBorders>
              <w:top w:val="nil"/>
              <w:left w:val="single" w:sz="4" w:space="0" w:color="BFBFBF"/>
              <w:bottom w:val="nil"/>
              <w:right w:val="single" w:sz="4" w:space="0" w:color="BFBFBF"/>
            </w:tcBorders>
            <w:shd w:val="clear" w:color="auto" w:fill="auto"/>
            <w:noWrap/>
            <w:vAlign w:val="center"/>
            <w:hideMark/>
          </w:tcPr>
          <w:p w:rsidR="00350195" w:rsidRPr="00787B80" w:rsidRDefault="00350195" w:rsidP="00F40EE6">
            <w:pPr>
              <w:spacing w:after="0" w:line="240" w:lineRule="auto"/>
              <w:jc w:val="right"/>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215111001</w:t>
            </w:r>
          </w:p>
        </w:tc>
        <w:tc>
          <w:tcPr>
            <w:tcW w:w="342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eastAsia="Times New Roman" w:cs="Calibri"/>
                <w:color w:val="000000"/>
                <w:lang w:eastAsia="es-MX"/>
              </w:rPr>
            </w:pPr>
            <w:r w:rsidRPr="00787B80">
              <w:rPr>
                <w:rFonts w:eastAsia="Times New Roman" w:cs="Calibri"/>
                <w:color w:val="000000"/>
                <w:lang w:eastAsia="es-MX"/>
              </w:rPr>
              <w:t>PAG ANT DE AGUA POTABLE</w:t>
            </w:r>
          </w:p>
        </w:tc>
        <w:tc>
          <w:tcPr>
            <w:tcW w:w="164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 xml:space="preserve"> $      (10,198.81)</w:t>
            </w:r>
          </w:p>
        </w:tc>
      </w:tr>
      <w:tr w:rsidR="00350195" w:rsidRPr="00787B80" w:rsidTr="00F40EE6">
        <w:trPr>
          <w:trHeight w:val="540"/>
        </w:trPr>
        <w:tc>
          <w:tcPr>
            <w:tcW w:w="1180" w:type="dxa"/>
            <w:tcBorders>
              <w:top w:val="nil"/>
              <w:left w:val="single" w:sz="4" w:space="0" w:color="BFBFBF"/>
              <w:bottom w:val="nil"/>
              <w:right w:val="single" w:sz="4" w:space="0" w:color="BFBFBF"/>
            </w:tcBorders>
            <w:shd w:val="clear" w:color="auto" w:fill="auto"/>
            <w:noWrap/>
            <w:vAlign w:val="center"/>
            <w:hideMark/>
          </w:tcPr>
          <w:p w:rsidR="00350195" w:rsidRPr="00787B80" w:rsidRDefault="00350195" w:rsidP="00F40EE6">
            <w:pPr>
              <w:spacing w:after="0" w:line="240" w:lineRule="auto"/>
              <w:jc w:val="right"/>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312111003</w:t>
            </w:r>
          </w:p>
        </w:tc>
        <w:tc>
          <w:tcPr>
            <w:tcW w:w="342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eastAsia="Times New Roman" w:cs="Calibri"/>
                <w:b/>
                <w:bCs/>
                <w:color w:val="000000"/>
                <w:lang w:eastAsia="es-MX"/>
              </w:rPr>
            </w:pPr>
            <w:r w:rsidRPr="00787B80">
              <w:rPr>
                <w:rFonts w:eastAsia="Times New Roman" w:cs="Calibri"/>
                <w:b/>
                <w:bCs/>
                <w:color w:val="000000"/>
                <w:lang w:eastAsia="es-MX"/>
              </w:rPr>
              <w:t>DONACION POR FUSION</w:t>
            </w:r>
          </w:p>
        </w:tc>
        <w:tc>
          <w:tcPr>
            <w:tcW w:w="1640" w:type="dxa"/>
            <w:tcBorders>
              <w:top w:val="nil"/>
              <w:left w:val="nil"/>
              <w:bottom w:val="nil"/>
              <w:right w:val="single" w:sz="4" w:space="0" w:color="BFBFBF"/>
            </w:tcBorders>
            <w:shd w:val="clear" w:color="auto" w:fill="FFFFFF" w:themeFill="background1"/>
            <w:noWrap/>
            <w:vAlign w:val="center"/>
            <w:hideMark/>
          </w:tcPr>
          <w:p w:rsidR="00350195" w:rsidRPr="00787B80" w:rsidRDefault="00350195" w:rsidP="00350195">
            <w:pPr>
              <w:spacing w:after="0" w:line="240" w:lineRule="auto"/>
              <w:rPr>
                <w:rFonts w:ascii="Tahoma" w:eastAsia="Times New Roman" w:hAnsi="Tahoma" w:cs="Tahoma"/>
                <w:b/>
                <w:bCs/>
                <w:color w:val="000000"/>
                <w:sz w:val="18"/>
                <w:szCs w:val="18"/>
                <w:lang w:eastAsia="es-MX"/>
              </w:rPr>
            </w:pPr>
            <w:r w:rsidRPr="00787B80">
              <w:rPr>
                <w:rFonts w:ascii="Tahoma" w:eastAsia="Times New Roman" w:hAnsi="Tahoma" w:cs="Tahoma"/>
                <w:b/>
                <w:bCs/>
                <w:color w:val="000000"/>
                <w:sz w:val="18"/>
                <w:szCs w:val="18"/>
                <w:lang w:eastAsia="es-MX"/>
              </w:rPr>
              <w:t xml:space="preserve"> </w:t>
            </w:r>
            <w:r>
              <w:rPr>
                <w:rFonts w:ascii="Tahoma" w:eastAsia="Times New Roman" w:hAnsi="Tahoma" w:cs="Tahoma"/>
                <w:b/>
                <w:bCs/>
                <w:color w:val="000000"/>
                <w:sz w:val="18"/>
                <w:szCs w:val="18"/>
                <w:lang w:eastAsia="es-MX"/>
              </w:rPr>
              <w:t>$ 6,365,037.20</w:t>
            </w:r>
          </w:p>
        </w:tc>
      </w:tr>
      <w:tr w:rsidR="00350195" w:rsidRPr="00787B80" w:rsidTr="00F40EE6">
        <w:trPr>
          <w:trHeight w:val="540"/>
        </w:trPr>
        <w:tc>
          <w:tcPr>
            <w:tcW w:w="1180" w:type="dxa"/>
            <w:tcBorders>
              <w:top w:val="nil"/>
              <w:left w:val="single" w:sz="4" w:space="0" w:color="BFBFBF"/>
              <w:bottom w:val="nil"/>
              <w:right w:val="single" w:sz="4" w:space="0" w:color="BFBFBF"/>
            </w:tcBorders>
            <w:shd w:val="clear" w:color="auto" w:fill="auto"/>
            <w:noWrap/>
            <w:vAlign w:val="center"/>
            <w:hideMark/>
          </w:tcPr>
          <w:p w:rsidR="00350195" w:rsidRPr="00787B80" w:rsidRDefault="00350195" w:rsidP="00F40EE6">
            <w:pPr>
              <w:spacing w:after="0" w:line="240" w:lineRule="auto"/>
              <w:jc w:val="right"/>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717111001</w:t>
            </w:r>
          </w:p>
        </w:tc>
        <w:tc>
          <w:tcPr>
            <w:tcW w:w="342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eastAsia="Times New Roman" w:cs="Calibri"/>
                <w:color w:val="000000"/>
                <w:lang w:eastAsia="es-MX"/>
              </w:rPr>
            </w:pPr>
            <w:r w:rsidRPr="00787B80">
              <w:rPr>
                <w:rFonts w:eastAsia="Times New Roman" w:cs="Calibri"/>
                <w:color w:val="000000"/>
                <w:lang w:eastAsia="es-MX"/>
              </w:rPr>
              <w:t>ACCS DE INGRESOS DE SERVICIOS</w:t>
            </w:r>
          </w:p>
        </w:tc>
        <w:tc>
          <w:tcPr>
            <w:tcW w:w="1640" w:type="dxa"/>
            <w:tcBorders>
              <w:top w:val="nil"/>
              <w:left w:val="nil"/>
              <w:bottom w:val="nil"/>
              <w:right w:val="single" w:sz="4" w:space="0" w:color="BFBFBF"/>
            </w:tcBorders>
            <w:shd w:val="clear" w:color="auto" w:fill="auto"/>
            <w:noWrap/>
            <w:vAlign w:val="center"/>
            <w:hideMark/>
          </w:tcPr>
          <w:p w:rsidR="00350195" w:rsidRPr="00787B80" w:rsidRDefault="00350195" w:rsidP="00F40EE6">
            <w:pPr>
              <w:spacing w:after="0" w:line="240" w:lineRule="auto"/>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 xml:space="preserve"> $   1,229,939.37 </w:t>
            </w:r>
          </w:p>
        </w:tc>
      </w:tr>
      <w:tr w:rsidR="00350195" w:rsidRPr="00787B80" w:rsidTr="00F40EE6">
        <w:trPr>
          <w:trHeight w:val="540"/>
        </w:trPr>
        <w:tc>
          <w:tcPr>
            <w:tcW w:w="1180" w:type="dxa"/>
            <w:tcBorders>
              <w:top w:val="nil"/>
              <w:left w:val="single" w:sz="4" w:space="0" w:color="BFBFBF"/>
              <w:bottom w:val="single" w:sz="4" w:space="0" w:color="BFBFBF"/>
              <w:right w:val="single" w:sz="4" w:space="0" w:color="BFBFBF"/>
            </w:tcBorders>
            <w:shd w:val="clear" w:color="auto" w:fill="auto"/>
            <w:noWrap/>
            <w:vAlign w:val="center"/>
            <w:hideMark/>
          </w:tcPr>
          <w:p w:rsidR="00350195" w:rsidRPr="00787B80" w:rsidRDefault="00350195" w:rsidP="00F40EE6">
            <w:pPr>
              <w:spacing w:after="0" w:line="240" w:lineRule="auto"/>
              <w:jc w:val="right"/>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718111001</w:t>
            </w:r>
          </w:p>
        </w:tc>
        <w:tc>
          <w:tcPr>
            <w:tcW w:w="3420" w:type="dxa"/>
            <w:tcBorders>
              <w:top w:val="nil"/>
              <w:left w:val="nil"/>
              <w:bottom w:val="single" w:sz="4" w:space="0" w:color="BFBFBF"/>
              <w:right w:val="single" w:sz="4" w:space="0" w:color="BFBFBF"/>
            </w:tcBorders>
            <w:shd w:val="clear" w:color="auto" w:fill="auto"/>
            <w:noWrap/>
            <w:vAlign w:val="center"/>
            <w:hideMark/>
          </w:tcPr>
          <w:p w:rsidR="00350195" w:rsidRPr="00787B80" w:rsidRDefault="00350195" w:rsidP="00F40EE6">
            <w:pPr>
              <w:spacing w:after="0" w:line="240" w:lineRule="auto"/>
              <w:rPr>
                <w:rFonts w:eastAsia="Times New Roman" w:cs="Calibri"/>
                <w:color w:val="000000"/>
                <w:lang w:eastAsia="es-MX"/>
              </w:rPr>
            </w:pPr>
            <w:r w:rsidRPr="00787B80">
              <w:rPr>
                <w:rFonts w:eastAsia="Times New Roman" w:cs="Calibri"/>
                <w:color w:val="000000"/>
                <w:lang w:eastAsia="es-MX"/>
              </w:rPr>
              <w:t>ACCS DE INGRESOS DE SERVICIOS</w:t>
            </w:r>
          </w:p>
        </w:tc>
        <w:tc>
          <w:tcPr>
            <w:tcW w:w="1640" w:type="dxa"/>
            <w:tcBorders>
              <w:top w:val="nil"/>
              <w:left w:val="nil"/>
              <w:bottom w:val="single" w:sz="4" w:space="0" w:color="BFBFBF"/>
              <w:right w:val="single" w:sz="4" w:space="0" w:color="BFBFBF"/>
            </w:tcBorders>
            <w:shd w:val="clear" w:color="auto" w:fill="auto"/>
            <w:noWrap/>
            <w:vAlign w:val="center"/>
            <w:hideMark/>
          </w:tcPr>
          <w:p w:rsidR="00350195" w:rsidRPr="00787B80" w:rsidRDefault="00350195" w:rsidP="00F40EE6">
            <w:pPr>
              <w:spacing w:after="0" w:line="240" w:lineRule="auto"/>
              <w:rPr>
                <w:rFonts w:ascii="Tahoma" w:eastAsia="Times New Roman" w:hAnsi="Tahoma" w:cs="Tahoma"/>
                <w:color w:val="000000"/>
                <w:sz w:val="18"/>
                <w:szCs w:val="18"/>
                <w:lang w:eastAsia="es-MX"/>
              </w:rPr>
            </w:pPr>
            <w:r w:rsidRPr="00787B80">
              <w:rPr>
                <w:rFonts w:ascii="Tahoma" w:eastAsia="Times New Roman" w:hAnsi="Tahoma" w:cs="Tahoma"/>
                <w:color w:val="000000"/>
                <w:sz w:val="18"/>
                <w:szCs w:val="18"/>
                <w:lang w:eastAsia="es-MX"/>
              </w:rPr>
              <w:t xml:space="preserve"> $   1,229,939.37 </w:t>
            </w:r>
          </w:p>
        </w:tc>
      </w:tr>
    </w:tbl>
    <w:p w:rsidR="00350195" w:rsidRDefault="00350195" w:rsidP="00350195">
      <w:pPr>
        <w:jc w:val="both"/>
        <w:rPr>
          <w:sz w:val="24"/>
          <w:szCs w:val="24"/>
        </w:rPr>
      </w:pPr>
    </w:p>
    <w:p w:rsidR="00350195" w:rsidRPr="00350195" w:rsidRDefault="00350195" w:rsidP="00350195">
      <w:pPr>
        <w:jc w:val="both"/>
        <w:rPr>
          <w:rFonts w:ascii="Times New Roman" w:hAnsi="Times New Roman"/>
          <w:sz w:val="24"/>
          <w:szCs w:val="24"/>
        </w:rPr>
      </w:pPr>
      <w:r w:rsidRPr="00350195">
        <w:rPr>
          <w:rFonts w:ascii="Times New Roman" w:hAnsi="Times New Roman"/>
          <w:sz w:val="24"/>
          <w:szCs w:val="24"/>
        </w:rPr>
        <w:t>En el mes de septiembre de 2020 se reconocen las siguientes cifras:</w:t>
      </w:r>
    </w:p>
    <w:tbl>
      <w:tblPr>
        <w:tblW w:w="6520" w:type="dxa"/>
        <w:tblCellMar>
          <w:left w:w="70" w:type="dxa"/>
          <w:right w:w="70" w:type="dxa"/>
        </w:tblCellMar>
        <w:tblLook w:val="04A0" w:firstRow="1" w:lastRow="0" w:firstColumn="1" w:lastColumn="0" w:noHBand="0" w:noVBand="1"/>
      </w:tblPr>
      <w:tblGrid>
        <w:gridCol w:w="1060"/>
        <w:gridCol w:w="3560"/>
        <w:gridCol w:w="1900"/>
      </w:tblGrid>
      <w:tr w:rsidR="00350195" w:rsidRPr="00CD0314" w:rsidTr="00F40EE6">
        <w:trPr>
          <w:trHeight w:val="540"/>
        </w:trPr>
        <w:tc>
          <w:tcPr>
            <w:tcW w:w="1060" w:type="dxa"/>
            <w:tcBorders>
              <w:top w:val="single" w:sz="4" w:space="0" w:color="BFBFBF"/>
              <w:left w:val="single" w:sz="4" w:space="0" w:color="BFBFBF"/>
              <w:bottom w:val="nil"/>
              <w:right w:val="single" w:sz="4" w:space="0" w:color="BFBFBF"/>
            </w:tcBorders>
            <w:shd w:val="clear" w:color="auto" w:fill="00B050"/>
            <w:noWrap/>
            <w:vAlign w:val="center"/>
            <w:hideMark/>
          </w:tcPr>
          <w:p w:rsidR="00350195" w:rsidRPr="00E00F09" w:rsidRDefault="00350195" w:rsidP="00F40EE6">
            <w:pPr>
              <w:spacing w:after="0" w:line="240" w:lineRule="auto"/>
              <w:jc w:val="center"/>
              <w:rPr>
                <w:rFonts w:eastAsia="Times New Roman" w:cs="Calibri"/>
                <w:b/>
                <w:bCs/>
                <w:color w:val="FFFFFF"/>
                <w:lang w:eastAsia="es-MX"/>
              </w:rPr>
            </w:pPr>
            <w:r w:rsidRPr="00E00F09">
              <w:rPr>
                <w:rFonts w:eastAsia="Times New Roman" w:cs="Calibri"/>
                <w:b/>
                <w:bCs/>
                <w:color w:val="FFFFFF"/>
                <w:lang w:eastAsia="es-MX"/>
              </w:rPr>
              <w:t>CUENTA</w:t>
            </w:r>
          </w:p>
        </w:tc>
        <w:tc>
          <w:tcPr>
            <w:tcW w:w="3560" w:type="dxa"/>
            <w:tcBorders>
              <w:top w:val="single" w:sz="4" w:space="0" w:color="BFBFBF"/>
              <w:left w:val="nil"/>
              <w:bottom w:val="nil"/>
              <w:right w:val="single" w:sz="4" w:space="0" w:color="BFBFBF"/>
            </w:tcBorders>
            <w:shd w:val="clear" w:color="auto" w:fill="00B050"/>
            <w:noWrap/>
            <w:vAlign w:val="center"/>
            <w:hideMark/>
          </w:tcPr>
          <w:p w:rsidR="00350195" w:rsidRPr="00E00F09" w:rsidRDefault="00350195" w:rsidP="00F40EE6">
            <w:pPr>
              <w:spacing w:after="0" w:line="240" w:lineRule="auto"/>
              <w:jc w:val="center"/>
              <w:rPr>
                <w:rFonts w:eastAsia="Times New Roman" w:cs="Calibri"/>
                <w:b/>
                <w:bCs/>
                <w:color w:val="FFFFFF"/>
                <w:lang w:eastAsia="es-MX"/>
              </w:rPr>
            </w:pPr>
            <w:r w:rsidRPr="00E00F09">
              <w:rPr>
                <w:rFonts w:eastAsia="Times New Roman" w:cs="Calibri"/>
                <w:b/>
                <w:bCs/>
                <w:color w:val="FFFFFF"/>
                <w:lang w:eastAsia="es-MX"/>
              </w:rPr>
              <w:t>DESCRIPCIÓN</w:t>
            </w:r>
          </w:p>
        </w:tc>
        <w:tc>
          <w:tcPr>
            <w:tcW w:w="1900" w:type="dxa"/>
            <w:tcBorders>
              <w:top w:val="single" w:sz="4" w:space="0" w:color="BFBFBF"/>
              <w:left w:val="nil"/>
              <w:bottom w:val="nil"/>
              <w:right w:val="single" w:sz="4" w:space="0" w:color="BFBFBF"/>
            </w:tcBorders>
            <w:shd w:val="clear" w:color="auto" w:fill="00B050"/>
            <w:noWrap/>
            <w:vAlign w:val="center"/>
            <w:hideMark/>
          </w:tcPr>
          <w:p w:rsidR="00350195" w:rsidRPr="00E00F09" w:rsidRDefault="00350195" w:rsidP="00F40EE6">
            <w:pPr>
              <w:spacing w:after="0" w:line="240" w:lineRule="auto"/>
              <w:jc w:val="center"/>
              <w:rPr>
                <w:rFonts w:eastAsia="Times New Roman" w:cs="Calibri"/>
                <w:b/>
                <w:bCs/>
                <w:color w:val="FFFFFF"/>
                <w:lang w:eastAsia="es-MX"/>
              </w:rPr>
            </w:pPr>
            <w:r w:rsidRPr="00E00F09">
              <w:rPr>
                <w:rFonts w:eastAsia="Times New Roman" w:cs="Calibri"/>
                <w:b/>
                <w:bCs/>
                <w:color w:val="FFFFFF"/>
                <w:lang w:eastAsia="es-MX"/>
              </w:rPr>
              <w:t>IMPORTE</w:t>
            </w:r>
          </w:p>
        </w:tc>
      </w:tr>
      <w:tr w:rsidR="00350195" w:rsidRPr="00E00F09" w:rsidTr="00F40EE6">
        <w:trPr>
          <w:trHeight w:val="540"/>
        </w:trPr>
        <w:tc>
          <w:tcPr>
            <w:tcW w:w="1060" w:type="dxa"/>
            <w:tcBorders>
              <w:top w:val="nil"/>
              <w:left w:val="single" w:sz="4" w:space="0" w:color="BFBFBF"/>
              <w:bottom w:val="nil"/>
              <w:right w:val="single" w:sz="4" w:space="0" w:color="BFBFBF"/>
            </w:tcBorders>
            <w:shd w:val="clear" w:color="auto" w:fill="auto"/>
            <w:noWrap/>
            <w:vAlign w:val="center"/>
            <w:hideMark/>
          </w:tcPr>
          <w:p w:rsidR="00350195" w:rsidRPr="00E00F09" w:rsidRDefault="00350195" w:rsidP="00F40EE6">
            <w:pPr>
              <w:spacing w:after="0" w:line="240" w:lineRule="auto"/>
              <w:jc w:val="right"/>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112312018</w:t>
            </w:r>
          </w:p>
        </w:tc>
        <w:tc>
          <w:tcPr>
            <w:tcW w:w="356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eastAsia="Times New Roman" w:cs="Calibri"/>
                <w:color w:val="000000"/>
                <w:lang w:eastAsia="es-MX"/>
              </w:rPr>
            </w:pPr>
            <w:r w:rsidRPr="00E00F09">
              <w:rPr>
                <w:rFonts w:eastAsia="Times New Roman" w:cs="Calibri"/>
                <w:color w:val="000000"/>
                <w:lang w:eastAsia="es-MX"/>
              </w:rPr>
              <w:t>SANCIONES-FUSION RURAL</w:t>
            </w:r>
          </w:p>
        </w:tc>
        <w:tc>
          <w:tcPr>
            <w:tcW w:w="190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 xml:space="preserve"> $            (1,242.00)</w:t>
            </w:r>
          </w:p>
        </w:tc>
      </w:tr>
      <w:tr w:rsidR="00350195" w:rsidRPr="00E00F09" w:rsidTr="00F40EE6">
        <w:trPr>
          <w:trHeight w:val="540"/>
        </w:trPr>
        <w:tc>
          <w:tcPr>
            <w:tcW w:w="1060" w:type="dxa"/>
            <w:tcBorders>
              <w:top w:val="nil"/>
              <w:left w:val="single" w:sz="4" w:space="0" w:color="BFBFBF"/>
              <w:bottom w:val="nil"/>
              <w:right w:val="single" w:sz="4" w:space="0" w:color="BFBFBF"/>
            </w:tcBorders>
            <w:shd w:val="clear" w:color="auto" w:fill="auto"/>
            <w:noWrap/>
            <w:vAlign w:val="center"/>
            <w:hideMark/>
          </w:tcPr>
          <w:p w:rsidR="00350195" w:rsidRPr="00E00F09" w:rsidRDefault="00350195" w:rsidP="00F40EE6">
            <w:pPr>
              <w:spacing w:after="0" w:line="240" w:lineRule="auto"/>
              <w:jc w:val="right"/>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112314061</w:t>
            </w:r>
          </w:p>
        </w:tc>
        <w:tc>
          <w:tcPr>
            <w:tcW w:w="356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eastAsia="Times New Roman" w:cs="Calibri"/>
                <w:color w:val="000000"/>
                <w:lang w:eastAsia="es-MX"/>
              </w:rPr>
            </w:pPr>
            <w:r w:rsidRPr="00E00F09">
              <w:rPr>
                <w:rFonts w:eastAsia="Times New Roman" w:cs="Calibri"/>
                <w:color w:val="000000"/>
                <w:lang w:eastAsia="es-MX"/>
              </w:rPr>
              <w:t>SAPAL RURAL (</w:t>
            </w:r>
            <w:proofErr w:type="spellStart"/>
            <w:r w:rsidRPr="00E00F09">
              <w:rPr>
                <w:rFonts w:eastAsia="Times New Roman" w:cs="Calibri"/>
                <w:color w:val="000000"/>
                <w:lang w:eastAsia="es-MX"/>
              </w:rPr>
              <w:t>CxD</w:t>
            </w:r>
            <w:proofErr w:type="spellEnd"/>
            <w:r w:rsidRPr="00E00F09">
              <w:rPr>
                <w:rFonts w:eastAsia="Times New Roman" w:cs="Calibri"/>
                <w:color w:val="000000"/>
                <w:lang w:eastAsia="es-MX"/>
              </w:rPr>
              <w:t xml:space="preserve"> ACC FUSION)</w:t>
            </w:r>
          </w:p>
        </w:tc>
        <w:tc>
          <w:tcPr>
            <w:tcW w:w="190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 xml:space="preserve"> $       1,266,993.49 </w:t>
            </w:r>
          </w:p>
        </w:tc>
      </w:tr>
      <w:tr w:rsidR="00350195" w:rsidRPr="00E00F09" w:rsidTr="00F40EE6">
        <w:trPr>
          <w:trHeight w:val="540"/>
        </w:trPr>
        <w:tc>
          <w:tcPr>
            <w:tcW w:w="1060" w:type="dxa"/>
            <w:tcBorders>
              <w:top w:val="nil"/>
              <w:left w:val="single" w:sz="4" w:space="0" w:color="BFBFBF"/>
              <w:bottom w:val="nil"/>
              <w:right w:val="single" w:sz="4" w:space="0" w:color="BFBFBF"/>
            </w:tcBorders>
            <w:shd w:val="clear" w:color="auto" w:fill="auto"/>
            <w:noWrap/>
            <w:vAlign w:val="center"/>
            <w:hideMark/>
          </w:tcPr>
          <w:p w:rsidR="00350195" w:rsidRPr="00E00F09" w:rsidRDefault="00350195" w:rsidP="00F40EE6">
            <w:pPr>
              <w:spacing w:after="0" w:line="240" w:lineRule="auto"/>
              <w:jc w:val="right"/>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112911019</w:t>
            </w:r>
          </w:p>
        </w:tc>
        <w:tc>
          <w:tcPr>
            <w:tcW w:w="356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eastAsia="Times New Roman" w:cs="Calibri"/>
                <w:color w:val="000000"/>
                <w:lang w:eastAsia="es-MX"/>
              </w:rPr>
            </w:pPr>
            <w:r w:rsidRPr="00E00F09">
              <w:rPr>
                <w:rFonts w:eastAsia="Times New Roman" w:cs="Calibri"/>
                <w:color w:val="000000"/>
                <w:lang w:eastAsia="es-MX"/>
              </w:rPr>
              <w:t>IVA ACREDITABLE SDO A FAVOR-FUS</w:t>
            </w:r>
          </w:p>
        </w:tc>
        <w:tc>
          <w:tcPr>
            <w:tcW w:w="190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 xml:space="preserve"> $      26,072,513.11 </w:t>
            </w:r>
          </w:p>
        </w:tc>
      </w:tr>
      <w:tr w:rsidR="00350195" w:rsidRPr="00E00F09" w:rsidTr="00F40EE6">
        <w:trPr>
          <w:trHeight w:val="540"/>
        </w:trPr>
        <w:tc>
          <w:tcPr>
            <w:tcW w:w="1060" w:type="dxa"/>
            <w:tcBorders>
              <w:top w:val="nil"/>
              <w:left w:val="single" w:sz="4" w:space="0" w:color="BFBFBF"/>
              <w:bottom w:val="nil"/>
              <w:right w:val="single" w:sz="4" w:space="0" w:color="BFBFBF"/>
            </w:tcBorders>
            <w:shd w:val="clear" w:color="auto" w:fill="auto"/>
            <w:noWrap/>
            <w:vAlign w:val="center"/>
            <w:hideMark/>
          </w:tcPr>
          <w:p w:rsidR="00350195" w:rsidRPr="00E00F09" w:rsidRDefault="00350195" w:rsidP="00F40EE6">
            <w:pPr>
              <w:spacing w:after="0" w:line="240" w:lineRule="auto"/>
              <w:jc w:val="right"/>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113211002</w:t>
            </w:r>
          </w:p>
        </w:tc>
        <w:tc>
          <w:tcPr>
            <w:tcW w:w="356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eastAsia="Times New Roman" w:cs="Calibri"/>
                <w:color w:val="000000"/>
                <w:lang w:eastAsia="es-MX"/>
              </w:rPr>
            </w:pPr>
            <w:r w:rsidRPr="00E00F09">
              <w:rPr>
                <w:rFonts w:eastAsia="Times New Roman" w:cs="Calibri"/>
                <w:color w:val="000000"/>
                <w:lang w:eastAsia="es-MX"/>
              </w:rPr>
              <w:t>ANT A PROV ADQ BIENES INMUEBLES</w:t>
            </w:r>
          </w:p>
        </w:tc>
        <w:tc>
          <w:tcPr>
            <w:tcW w:w="190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 xml:space="preserve"> $       3,996,677.10 </w:t>
            </w:r>
          </w:p>
        </w:tc>
      </w:tr>
      <w:tr w:rsidR="00350195" w:rsidRPr="00E00F09" w:rsidTr="00F40EE6">
        <w:trPr>
          <w:trHeight w:val="540"/>
        </w:trPr>
        <w:tc>
          <w:tcPr>
            <w:tcW w:w="1060" w:type="dxa"/>
            <w:tcBorders>
              <w:top w:val="nil"/>
              <w:left w:val="single" w:sz="4" w:space="0" w:color="BFBFBF"/>
              <w:bottom w:val="nil"/>
              <w:right w:val="single" w:sz="4" w:space="0" w:color="BFBFBF"/>
            </w:tcBorders>
            <w:shd w:val="clear" w:color="auto" w:fill="auto"/>
            <w:noWrap/>
            <w:vAlign w:val="center"/>
            <w:hideMark/>
          </w:tcPr>
          <w:p w:rsidR="00350195" w:rsidRPr="00E00F09" w:rsidRDefault="00350195" w:rsidP="00F40EE6">
            <w:pPr>
              <w:spacing w:after="0" w:line="240" w:lineRule="auto"/>
              <w:jc w:val="right"/>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113411002</w:t>
            </w:r>
          </w:p>
        </w:tc>
        <w:tc>
          <w:tcPr>
            <w:tcW w:w="356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eastAsia="Times New Roman" w:cs="Calibri"/>
                <w:color w:val="000000"/>
                <w:lang w:eastAsia="es-MX"/>
              </w:rPr>
            </w:pPr>
            <w:r w:rsidRPr="00E00F09">
              <w:rPr>
                <w:rFonts w:eastAsia="Times New Roman" w:cs="Calibri"/>
                <w:color w:val="000000"/>
                <w:lang w:eastAsia="es-MX"/>
              </w:rPr>
              <w:t>ANT A CONTRATISTAS- FUSION RURA</w:t>
            </w:r>
          </w:p>
        </w:tc>
        <w:tc>
          <w:tcPr>
            <w:tcW w:w="190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 xml:space="preserve"> $       7,507,497.52 </w:t>
            </w:r>
          </w:p>
        </w:tc>
      </w:tr>
      <w:tr w:rsidR="00350195" w:rsidRPr="00E00F09" w:rsidTr="00F40EE6">
        <w:trPr>
          <w:trHeight w:val="540"/>
        </w:trPr>
        <w:tc>
          <w:tcPr>
            <w:tcW w:w="1060" w:type="dxa"/>
            <w:tcBorders>
              <w:top w:val="nil"/>
              <w:left w:val="single" w:sz="4" w:space="0" w:color="BFBFBF"/>
              <w:bottom w:val="nil"/>
              <w:right w:val="single" w:sz="4" w:space="0" w:color="BFBFBF"/>
            </w:tcBorders>
            <w:shd w:val="clear" w:color="auto" w:fill="auto"/>
            <w:noWrap/>
            <w:vAlign w:val="center"/>
            <w:hideMark/>
          </w:tcPr>
          <w:p w:rsidR="00350195" w:rsidRPr="00E00F09" w:rsidRDefault="00350195" w:rsidP="00F40EE6">
            <w:pPr>
              <w:spacing w:after="0" w:line="240" w:lineRule="auto"/>
              <w:jc w:val="right"/>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123461001</w:t>
            </w:r>
          </w:p>
        </w:tc>
        <w:tc>
          <w:tcPr>
            <w:tcW w:w="356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eastAsia="Times New Roman" w:cs="Calibri"/>
                <w:color w:val="000000"/>
                <w:lang w:eastAsia="es-MX"/>
              </w:rPr>
            </w:pPr>
            <w:r w:rsidRPr="00E00F09">
              <w:rPr>
                <w:rFonts w:eastAsia="Times New Roman" w:cs="Calibri"/>
                <w:color w:val="000000"/>
                <w:lang w:eastAsia="es-MX"/>
              </w:rPr>
              <w:t>INFTRA AGUA POTABLE</w:t>
            </w:r>
          </w:p>
        </w:tc>
        <w:tc>
          <w:tcPr>
            <w:tcW w:w="190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 xml:space="preserve"> $      77,902,387.75 </w:t>
            </w:r>
          </w:p>
        </w:tc>
      </w:tr>
      <w:tr w:rsidR="00350195" w:rsidRPr="00E00F09" w:rsidTr="00F40EE6">
        <w:trPr>
          <w:trHeight w:val="540"/>
        </w:trPr>
        <w:tc>
          <w:tcPr>
            <w:tcW w:w="1060" w:type="dxa"/>
            <w:tcBorders>
              <w:top w:val="nil"/>
              <w:left w:val="single" w:sz="4" w:space="0" w:color="BFBFBF"/>
              <w:bottom w:val="nil"/>
              <w:right w:val="single" w:sz="4" w:space="0" w:color="BFBFBF"/>
            </w:tcBorders>
            <w:shd w:val="clear" w:color="auto" w:fill="auto"/>
            <w:noWrap/>
            <w:vAlign w:val="center"/>
            <w:hideMark/>
          </w:tcPr>
          <w:p w:rsidR="00350195" w:rsidRPr="00E00F09" w:rsidRDefault="00350195" w:rsidP="00F40EE6">
            <w:pPr>
              <w:spacing w:after="0" w:line="240" w:lineRule="auto"/>
              <w:jc w:val="right"/>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123462001</w:t>
            </w:r>
          </w:p>
        </w:tc>
        <w:tc>
          <w:tcPr>
            <w:tcW w:w="356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eastAsia="Times New Roman" w:cs="Calibri"/>
                <w:color w:val="000000"/>
                <w:lang w:eastAsia="es-MX"/>
              </w:rPr>
            </w:pPr>
            <w:r w:rsidRPr="00E00F09">
              <w:rPr>
                <w:rFonts w:eastAsia="Times New Roman" w:cs="Calibri"/>
                <w:color w:val="000000"/>
                <w:lang w:eastAsia="es-MX"/>
              </w:rPr>
              <w:t>INFTRA ALCANTARILLADO</w:t>
            </w:r>
          </w:p>
        </w:tc>
        <w:tc>
          <w:tcPr>
            <w:tcW w:w="190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 xml:space="preserve"> $    119,152,507.19 </w:t>
            </w:r>
          </w:p>
        </w:tc>
      </w:tr>
      <w:tr w:rsidR="00350195" w:rsidRPr="00E00F09" w:rsidTr="00F40EE6">
        <w:trPr>
          <w:trHeight w:val="540"/>
        </w:trPr>
        <w:tc>
          <w:tcPr>
            <w:tcW w:w="1060" w:type="dxa"/>
            <w:tcBorders>
              <w:top w:val="nil"/>
              <w:left w:val="single" w:sz="4" w:space="0" w:color="BFBFBF"/>
              <w:bottom w:val="nil"/>
              <w:right w:val="single" w:sz="4" w:space="0" w:color="BFBFBF"/>
            </w:tcBorders>
            <w:shd w:val="clear" w:color="auto" w:fill="auto"/>
            <w:noWrap/>
            <w:vAlign w:val="center"/>
            <w:hideMark/>
          </w:tcPr>
          <w:p w:rsidR="00350195" w:rsidRPr="00E00F09" w:rsidRDefault="00350195" w:rsidP="00F40EE6">
            <w:pPr>
              <w:spacing w:after="0" w:line="240" w:lineRule="auto"/>
              <w:jc w:val="right"/>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123464001</w:t>
            </w:r>
          </w:p>
        </w:tc>
        <w:tc>
          <w:tcPr>
            <w:tcW w:w="356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eastAsia="Times New Roman" w:cs="Calibri"/>
                <w:color w:val="000000"/>
                <w:lang w:eastAsia="es-MX"/>
              </w:rPr>
            </w:pPr>
            <w:r w:rsidRPr="00E00F09">
              <w:rPr>
                <w:rFonts w:eastAsia="Times New Roman" w:cs="Calibri"/>
                <w:color w:val="000000"/>
                <w:lang w:eastAsia="es-MX"/>
              </w:rPr>
              <w:t>INFTRA SANEAMIENTO</w:t>
            </w:r>
          </w:p>
        </w:tc>
        <w:tc>
          <w:tcPr>
            <w:tcW w:w="190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 xml:space="preserve"> $      28,808,584.67 </w:t>
            </w:r>
          </w:p>
        </w:tc>
      </w:tr>
      <w:tr w:rsidR="00350195" w:rsidRPr="00E00F09" w:rsidTr="00F40EE6">
        <w:trPr>
          <w:trHeight w:val="540"/>
        </w:trPr>
        <w:tc>
          <w:tcPr>
            <w:tcW w:w="1060" w:type="dxa"/>
            <w:tcBorders>
              <w:top w:val="nil"/>
              <w:left w:val="single" w:sz="4" w:space="0" w:color="BFBFBF"/>
              <w:bottom w:val="nil"/>
              <w:right w:val="single" w:sz="4" w:space="0" w:color="BFBFBF"/>
            </w:tcBorders>
            <w:shd w:val="clear" w:color="auto" w:fill="auto"/>
            <w:noWrap/>
            <w:vAlign w:val="center"/>
            <w:hideMark/>
          </w:tcPr>
          <w:p w:rsidR="00350195" w:rsidRPr="00E00F09" w:rsidRDefault="00350195" w:rsidP="00F40EE6">
            <w:pPr>
              <w:spacing w:after="0" w:line="240" w:lineRule="auto"/>
              <w:jc w:val="right"/>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123531001</w:t>
            </w:r>
          </w:p>
        </w:tc>
        <w:tc>
          <w:tcPr>
            <w:tcW w:w="356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eastAsia="Times New Roman" w:cs="Calibri"/>
                <w:color w:val="000000"/>
                <w:lang w:eastAsia="es-MX"/>
              </w:rPr>
            </w:pPr>
            <w:r w:rsidRPr="00E00F09">
              <w:rPr>
                <w:rFonts w:eastAsia="Times New Roman" w:cs="Calibri"/>
                <w:color w:val="000000"/>
                <w:lang w:eastAsia="es-MX"/>
              </w:rPr>
              <w:t>CEP AGUA POTABLE</w:t>
            </w:r>
          </w:p>
        </w:tc>
        <w:tc>
          <w:tcPr>
            <w:tcW w:w="190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 xml:space="preserve"> $       1,013,909.52 </w:t>
            </w:r>
          </w:p>
        </w:tc>
      </w:tr>
      <w:tr w:rsidR="00350195" w:rsidRPr="00E00F09" w:rsidTr="00F40EE6">
        <w:trPr>
          <w:trHeight w:val="540"/>
        </w:trPr>
        <w:tc>
          <w:tcPr>
            <w:tcW w:w="1060" w:type="dxa"/>
            <w:tcBorders>
              <w:top w:val="nil"/>
              <w:left w:val="single" w:sz="4" w:space="0" w:color="BFBFBF"/>
              <w:bottom w:val="nil"/>
              <w:right w:val="single" w:sz="4" w:space="0" w:color="BFBFBF"/>
            </w:tcBorders>
            <w:shd w:val="clear" w:color="auto" w:fill="auto"/>
            <w:noWrap/>
            <w:vAlign w:val="center"/>
            <w:hideMark/>
          </w:tcPr>
          <w:p w:rsidR="00350195" w:rsidRPr="00E00F09" w:rsidRDefault="00350195" w:rsidP="00F40EE6">
            <w:pPr>
              <w:spacing w:after="0" w:line="240" w:lineRule="auto"/>
              <w:jc w:val="right"/>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123532001</w:t>
            </w:r>
          </w:p>
        </w:tc>
        <w:tc>
          <w:tcPr>
            <w:tcW w:w="356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eastAsia="Times New Roman" w:cs="Calibri"/>
                <w:color w:val="000000"/>
                <w:lang w:eastAsia="es-MX"/>
              </w:rPr>
            </w:pPr>
            <w:r w:rsidRPr="00E00F09">
              <w:rPr>
                <w:rFonts w:eastAsia="Times New Roman" w:cs="Calibri"/>
                <w:color w:val="000000"/>
                <w:lang w:eastAsia="es-MX"/>
              </w:rPr>
              <w:t>CEP ALCANTARILLADO</w:t>
            </w:r>
          </w:p>
        </w:tc>
        <w:tc>
          <w:tcPr>
            <w:tcW w:w="190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 xml:space="preserve"> $       4,894,276.49 </w:t>
            </w:r>
          </w:p>
        </w:tc>
      </w:tr>
      <w:tr w:rsidR="00350195" w:rsidRPr="00E00F09" w:rsidTr="00F40EE6">
        <w:trPr>
          <w:trHeight w:val="540"/>
        </w:trPr>
        <w:tc>
          <w:tcPr>
            <w:tcW w:w="1060" w:type="dxa"/>
            <w:tcBorders>
              <w:top w:val="nil"/>
              <w:left w:val="single" w:sz="4" w:space="0" w:color="BFBFBF"/>
              <w:bottom w:val="nil"/>
              <w:right w:val="single" w:sz="4" w:space="0" w:color="BFBFBF"/>
            </w:tcBorders>
            <w:shd w:val="clear" w:color="auto" w:fill="auto"/>
            <w:noWrap/>
            <w:vAlign w:val="center"/>
            <w:hideMark/>
          </w:tcPr>
          <w:p w:rsidR="00350195" w:rsidRPr="00E00F09" w:rsidRDefault="00350195" w:rsidP="00F40EE6">
            <w:pPr>
              <w:spacing w:after="0" w:line="240" w:lineRule="auto"/>
              <w:jc w:val="right"/>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211211004</w:t>
            </w:r>
          </w:p>
        </w:tc>
        <w:tc>
          <w:tcPr>
            <w:tcW w:w="356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eastAsia="Times New Roman" w:cs="Calibri"/>
                <w:color w:val="000000"/>
                <w:lang w:eastAsia="es-MX"/>
              </w:rPr>
            </w:pPr>
            <w:r w:rsidRPr="00E00F09">
              <w:rPr>
                <w:rFonts w:eastAsia="Times New Roman" w:cs="Calibri"/>
                <w:color w:val="000000"/>
                <w:lang w:eastAsia="es-MX"/>
              </w:rPr>
              <w:t>PROVEEDORES-FUSION RURAL</w:t>
            </w:r>
          </w:p>
        </w:tc>
        <w:tc>
          <w:tcPr>
            <w:tcW w:w="1900" w:type="dxa"/>
            <w:tcBorders>
              <w:top w:val="nil"/>
              <w:left w:val="nil"/>
              <w:bottom w:val="nil"/>
              <w:right w:val="single" w:sz="4" w:space="0" w:color="BFBFBF"/>
            </w:tcBorders>
            <w:shd w:val="clear" w:color="auto" w:fill="auto"/>
            <w:noWrap/>
            <w:vAlign w:val="center"/>
            <w:hideMark/>
          </w:tcPr>
          <w:p w:rsidR="00350195" w:rsidRPr="00E00F09" w:rsidRDefault="00350195" w:rsidP="00F40EE6">
            <w:pPr>
              <w:spacing w:after="0" w:line="240" w:lineRule="auto"/>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 xml:space="preserve"> $         (949,807.95)</w:t>
            </w:r>
          </w:p>
        </w:tc>
      </w:tr>
      <w:tr w:rsidR="00350195" w:rsidRPr="00E00F09" w:rsidTr="00F40EE6">
        <w:trPr>
          <w:trHeight w:val="540"/>
        </w:trPr>
        <w:tc>
          <w:tcPr>
            <w:tcW w:w="1060" w:type="dxa"/>
            <w:tcBorders>
              <w:top w:val="nil"/>
              <w:left w:val="single" w:sz="4" w:space="0" w:color="BFBFBF"/>
              <w:bottom w:val="single" w:sz="4" w:space="0" w:color="BFBFBF"/>
              <w:right w:val="single" w:sz="4" w:space="0" w:color="BFBFBF"/>
            </w:tcBorders>
            <w:shd w:val="clear" w:color="auto" w:fill="auto"/>
            <w:noWrap/>
            <w:vAlign w:val="center"/>
            <w:hideMark/>
          </w:tcPr>
          <w:p w:rsidR="00350195" w:rsidRPr="00E00F09" w:rsidRDefault="00350195" w:rsidP="00F40EE6">
            <w:pPr>
              <w:spacing w:after="0" w:line="240" w:lineRule="auto"/>
              <w:jc w:val="right"/>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312111003</w:t>
            </w:r>
          </w:p>
        </w:tc>
        <w:tc>
          <w:tcPr>
            <w:tcW w:w="3560" w:type="dxa"/>
            <w:tcBorders>
              <w:top w:val="nil"/>
              <w:left w:val="nil"/>
              <w:bottom w:val="single" w:sz="4" w:space="0" w:color="BFBFBF"/>
              <w:right w:val="single" w:sz="4" w:space="0" w:color="BFBFBF"/>
            </w:tcBorders>
            <w:shd w:val="clear" w:color="auto" w:fill="auto"/>
            <w:noWrap/>
            <w:vAlign w:val="center"/>
            <w:hideMark/>
          </w:tcPr>
          <w:p w:rsidR="00350195" w:rsidRPr="00E00F09" w:rsidRDefault="00350195" w:rsidP="00F40EE6">
            <w:pPr>
              <w:spacing w:after="0" w:line="240" w:lineRule="auto"/>
              <w:rPr>
                <w:rFonts w:eastAsia="Times New Roman" w:cs="Calibri"/>
                <w:b/>
                <w:bCs/>
                <w:color w:val="000000"/>
                <w:lang w:eastAsia="es-MX"/>
              </w:rPr>
            </w:pPr>
            <w:r w:rsidRPr="00E00F09">
              <w:rPr>
                <w:rFonts w:eastAsia="Times New Roman" w:cs="Calibri"/>
                <w:b/>
                <w:bCs/>
                <w:color w:val="000000"/>
                <w:lang w:eastAsia="es-MX"/>
              </w:rPr>
              <w:t>DONACION POR FUSION</w:t>
            </w:r>
          </w:p>
        </w:tc>
        <w:tc>
          <w:tcPr>
            <w:tcW w:w="1900" w:type="dxa"/>
            <w:tcBorders>
              <w:top w:val="nil"/>
              <w:left w:val="nil"/>
              <w:bottom w:val="single" w:sz="4" w:space="0" w:color="BFBFBF"/>
              <w:right w:val="single" w:sz="4" w:space="0" w:color="BFBFBF"/>
            </w:tcBorders>
            <w:shd w:val="clear" w:color="auto" w:fill="auto"/>
            <w:noWrap/>
            <w:vAlign w:val="center"/>
            <w:hideMark/>
          </w:tcPr>
          <w:p w:rsidR="00350195" w:rsidRPr="00E00F09" w:rsidRDefault="00350195" w:rsidP="00F40EE6">
            <w:pPr>
              <w:spacing w:after="0" w:line="240" w:lineRule="auto"/>
              <w:rPr>
                <w:rFonts w:ascii="Tahoma" w:eastAsia="Times New Roman" w:hAnsi="Tahoma" w:cs="Tahoma"/>
                <w:b/>
                <w:bCs/>
                <w:color w:val="000000"/>
                <w:sz w:val="18"/>
                <w:szCs w:val="18"/>
                <w:lang w:eastAsia="es-MX"/>
              </w:rPr>
            </w:pPr>
            <w:r w:rsidRPr="00E00F09">
              <w:rPr>
                <w:rFonts w:ascii="Tahoma" w:eastAsia="Times New Roman" w:hAnsi="Tahoma" w:cs="Tahoma"/>
                <w:b/>
                <w:bCs/>
                <w:color w:val="000000"/>
                <w:sz w:val="18"/>
                <w:szCs w:val="18"/>
                <w:lang w:eastAsia="es-MX"/>
              </w:rPr>
              <w:t xml:space="preserve"> $ 269,664,296.89 </w:t>
            </w:r>
          </w:p>
        </w:tc>
      </w:tr>
    </w:tbl>
    <w:p w:rsidR="00120122" w:rsidRDefault="00120122" w:rsidP="00120122">
      <w:pPr>
        <w:spacing w:after="0" w:line="240" w:lineRule="auto"/>
        <w:jc w:val="both"/>
        <w:rPr>
          <w:rFonts w:ascii="Times New Roman" w:hAnsi="Times New Roman"/>
          <w:sz w:val="24"/>
          <w:szCs w:val="24"/>
        </w:rPr>
      </w:pPr>
    </w:p>
    <w:p w:rsidR="007528E7" w:rsidRDefault="007528E7" w:rsidP="00120122">
      <w:pPr>
        <w:spacing w:after="0" w:line="240" w:lineRule="auto"/>
        <w:jc w:val="both"/>
        <w:rPr>
          <w:rFonts w:ascii="Times New Roman" w:hAnsi="Times New Roman"/>
          <w:sz w:val="24"/>
          <w:szCs w:val="24"/>
        </w:rPr>
      </w:pPr>
    </w:p>
    <w:p w:rsidR="007528E7" w:rsidRDefault="007528E7" w:rsidP="00120122">
      <w:pPr>
        <w:spacing w:after="0" w:line="240" w:lineRule="auto"/>
        <w:jc w:val="both"/>
        <w:rPr>
          <w:rFonts w:ascii="Times New Roman" w:hAnsi="Times New Roman"/>
          <w:sz w:val="24"/>
          <w:szCs w:val="24"/>
        </w:rPr>
      </w:pPr>
    </w:p>
    <w:p w:rsidR="007528E7" w:rsidRDefault="007528E7" w:rsidP="00120122">
      <w:pPr>
        <w:spacing w:after="0" w:line="240" w:lineRule="auto"/>
        <w:jc w:val="both"/>
        <w:rPr>
          <w:rFonts w:ascii="Times New Roman" w:hAnsi="Times New Roman"/>
          <w:sz w:val="24"/>
          <w:szCs w:val="24"/>
        </w:rPr>
      </w:pPr>
    </w:p>
    <w:p w:rsidR="007528E7" w:rsidRPr="00350195" w:rsidRDefault="007528E7" w:rsidP="007528E7">
      <w:pPr>
        <w:jc w:val="both"/>
        <w:rPr>
          <w:rFonts w:ascii="Times New Roman" w:hAnsi="Times New Roman"/>
          <w:sz w:val="24"/>
          <w:szCs w:val="24"/>
        </w:rPr>
      </w:pPr>
      <w:r w:rsidRPr="00350195">
        <w:rPr>
          <w:rFonts w:ascii="Times New Roman" w:hAnsi="Times New Roman"/>
          <w:sz w:val="24"/>
          <w:szCs w:val="24"/>
        </w:rPr>
        <w:lastRenderedPageBreak/>
        <w:t xml:space="preserve">En el mes de </w:t>
      </w:r>
      <w:r>
        <w:rPr>
          <w:rFonts w:ascii="Times New Roman" w:hAnsi="Times New Roman"/>
          <w:sz w:val="24"/>
          <w:szCs w:val="24"/>
        </w:rPr>
        <w:t>noviem</w:t>
      </w:r>
      <w:r w:rsidRPr="00350195">
        <w:rPr>
          <w:rFonts w:ascii="Times New Roman" w:hAnsi="Times New Roman"/>
          <w:sz w:val="24"/>
          <w:szCs w:val="24"/>
        </w:rPr>
        <w:t>bre de 2020 se reconocen las siguientes cifras:</w:t>
      </w:r>
    </w:p>
    <w:tbl>
      <w:tblPr>
        <w:tblW w:w="6520" w:type="dxa"/>
        <w:tblCellMar>
          <w:left w:w="70" w:type="dxa"/>
          <w:right w:w="70" w:type="dxa"/>
        </w:tblCellMar>
        <w:tblLook w:val="04A0" w:firstRow="1" w:lastRow="0" w:firstColumn="1" w:lastColumn="0" w:noHBand="0" w:noVBand="1"/>
      </w:tblPr>
      <w:tblGrid>
        <w:gridCol w:w="1060"/>
        <w:gridCol w:w="3560"/>
        <w:gridCol w:w="1900"/>
      </w:tblGrid>
      <w:tr w:rsidR="007528E7" w:rsidRPr="00E00F09" w:rsidTr="00542431">
        <w:trPr>
          <w:trHeight w:val="540"/>
        </w:trPr>
        <w:tc>
          <w:tcPr>
            <w:tcW w:w="1060" w:type="dxa"/>
            <w:tcBorders>
              <w:top w:val="single" w:sz="4" w:space="0" w:color="BFBFBF"/>
              <w:left w:val="single" w:sz="4" w:space="0" w:color="BFBFBF"/>
              <w:bottom w:val="nil"/>
              <w:right w:val="single" w:sz="4" w:space="0" w:color="BFBFBF"/>
            </w:tcBorders>
            <w:shd w:val="clear" w:color="auto" w:fill="00B050"/>
            <w:noWrap/>
            <w:vAlign w:val="center"/>
            <w:hideMark/>
          </w:tcPr>
          <w:p w:rsidR="007528E7" w:rsidRPr="00E00F09" w:rsidRDefault="007528E7" w:rsidP="00542431">
            <w:pPr>
              <w:spacing w:after="0" w:line="240" w:lineRule="auto"/>
              <w:jc w:val="center"/>
              <w:rPr>
                <w:rFonts w:eastAsia="Times New Roman" w:cs="Calibri"/>
                <w:b/>
                <w:bCs/>
                <w:color w:val="FFFFFF"/>
                <w:lang w:eastAsia="es-MX"/>
              </w:rPr>
            </w:pPr>
            <w:r w:rsidRPr="00E00F09">
              <w:rPr>
                <w:rFonts w:eastAsia="Times New Roman" w:cs="Calibri"/>
                <w:b/>
                <w:bCs/>
                <w:color w:val="FFFFFF"/>
                <w:lang w:eastAsia="es-MX"/>
              </w:rPr>
              <w:t>CUENTA</w:t>
            </w:r>
          </w:p>
        </w:tc>
        <w:tc>
          <w:tcPr>
            <w:tcW w:w="3560" w:type="dxa"/>
            <w:tcBorders>
              <w:top w:val="single" w:sz="4" w:space="0" w:color="BFBFBF"/>
              <w:left w:val="nil"/>
              <w:bottom w:val="nil"/>
              <w:right w:val="single" w:sz="4" w:space="0" w:color="BFBFBF"/>
            </w:tcBorders>
            <w:shd w:val="clear" w:color="auto" w:fill="00B050"/>
            <w:noWrap/>
            <w:vAlign w:val="center"/>
            <w:hideMark/>
          </w:tcPr>
          <w:p w:rsidR="007528E7" w:rsidRPr="00E00F09" w:rsidRDefault="007528E7" w:rsidP="00542431">
            <w:pPr>
              <w:spacing w:after="0" w:line="240" w:lineRule="auto"/>
              <w:jc w:val="center"/>
              <w:rPr>
                <w:rFonts w:eastAsia="Times New Roman" w:cs="Calibri"/>
                <w:b/>
                <w:bCs/>
                <w:color w:val="FFFFFF"/>
                <w:lang w:eastAsia="es-MX"/>
              </w:rPr>
            </w:pPr>
            <w:r w:rsidRPr="00E00F09">
              <w:rPr>
                <w:rFonts w:eastAsia="Times New Roman" w:cs="Calibri"/>
                <w:b/>
                <w:bCs/>
                <w:color w:val="FFFFFF"/>
                <w:lang w:eastAsia="es-MX"/>
              </w:rPr>
              <w:t>DESCRIPCIÓN</w:t>
            </w:r>
          </w:p>
        </w:tc>
        <w:tc>
          <w:tcPr>
            <w:tcW w:w="1900" w:type="dxa"/>
            <w:tcBorders>
              <w:top w:val="single" w:sz="4" w:space="0" w:color="BFBFBF"/>
              <w:left w:val="nil"/>
              <w:bottom w:val="nil"/>
              <w:right w:val="single" w:sz="4" w:space="0" w:color="BFBFBF"/>
            </w:tcBorders>
            <w:shd w:val="clear" w:color="auto" w:fill="00B050"/>
            <w:noWrap/>
            <w:vAlign w:val="center"/>
            <w:hideMark/>
          </w:tcPr>
          <w:p w:rsidR="007528E7" w:rsidRPr="00E00F09" w:rsidRDefault="007528E7" w:rsidP="00542431">
            <w:pPr>
              <w:spacing w:after="0" w:line="240" w:lineRule="auto"/>
              <w:jc w:val="center"/>
              <w:rPr>
                <w:rFonts w:eastAsia="Times New Roman" w:cs="Calibri"/>
                <w:b/>
                <w:bCs/>
                <w:color w:val="FFFFFF"/>
                <w:lang w:eastAsia="es-MX"/>
              </w:rPr>
            </w:pPr>
            <w:r w:rsidRPr="00E00F09">
              <w:rPr>
                <w:rFonts w:eastAsia="Times New Roman" w:cs="Calibri"/>
                <w:b/>
                <w:bCs/>
                <w:color w:val="FFFFFF"/>
                <w:lang w:eastAsia="es-MX"/>
              </w:rPr>
              <w:t>IMPORTE</w:t>
            </w:r>
          </w:p>
        </w:tc>
      </w:tr>
      <w:tr w:rsidR="007528E7" w:rsidRPr="00E00F09" w:rsidTr="00542431">
        <w:trPr>
          <w:trHeight w:val="540"/>
        </w:trPr>
        <w:tc>
          <w:tcPr>
            <w:tcW w:w="1060" w:type="dxa"/>
            <w:tcBorders>
              <w:top w:val="nil"/>
              <w:left w:val="single" w:sz="4" w:space="0" w:color="BFBFBF"/>
              <w:bottom w:val="nil"/>
              <w:right w:val="single" w:sz="4" w:space="0" w:color="BFBFBF"/>
            </w:tcBorders>
            <w:shd w:val="clear" w:color="auto" w:fill="auto"/>
            <w:noWrap/>
            <w:vAlign w:val="center"/>
            <w:hideMark/>
          </w:tcPr>
          <w:p w:rsidR="007528E7" w:rsidRPr="00E00F09" w:rsidRDefault="007528E7" w:rsidP="00542431">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111212004</w:t>
            </w:r>
          </w:p>
        </w:tc>
        <w:tc>
          <w:tcPr>
            <w:tcW w:w="3560" w:type="dxa"/>
            <w:tcBorders>
              <w:top w:val="nil"/>
              <w:left w:val="nil"/>
              <w:bottom w:val="nil"/>
              <w:right w:val="single" w:sz="4" w:space="0" w:color="BFBFBF"/>
            </w:tcBorders>
            <w:shd w:val="clear" w:color="auto" w:fill="auto"/>
            <w:noWrap/>
            <w:vAlign w:val="center"/>
            <w:hideMark/>
          </w:tcPr>
          <w:p w:rsidR="007528E7" w:rsidRPr="00E00F09" w:rsidRDefault="007528E7" w:rsidP="00542431">
            <w:pPr>
              <w:spacing w:after="0" w:line="240" w:lineRule="auto"/>
              <w:rPr>
                <w:rFonts w:eastAsia="Times New Roman" w:cs="Calibri"/>
                <w:color w:val="000000"/>
                <w:lang w:eastAsia="es-MX"/>
              </w:rPr>
            </w:pPr>
            <w:r>
              <w:rPr>
                <w:rFonts w:eastAsia="Times New Roman" w:cs="Calibri"/>
                <w:color w:val="000000"/>
                <w:lang w:eastAsia="es-MX"/>
              </w:rPr>
              <w:t>SAPAL DEL BAJIO 1258870</w:t>
            </w:r>
          </w:p>
        </w:tc>
        <w:tc>
          <w:tcPr>
            <w:tcW w:w="1900" w:type="dxa"/>
            <w:tcBorders>
              <w:top w:val="nil"/>
              <w:left w:val="nil"/>
              <w:bottom w:val="nil"/>
              <w:right w:val="single" w:sz="4" w:space="0" w:color="BFBFBF"/>
            </w:tcBorders>
            <w:shd w:val="clear" w:color="auto" w:fill="auto"/>
            <w:noWrap/>
            <w:vAlign w:val="center"/>
            <w:hideMark/>
          </w:tcPr>
          <w:p w:rsidR="007528E7" w:rsidRPr="00E00F09" w:rsidRDefault="007528E7" w:rsidP="00542431">
            <w:pPr>
              <w:spacing w:after="0" w:line="240" w:lineRule="auto"/>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 xml:space="preserve"> $   </w:t>
            </w:r>
            <w:r>
              <w:rPr>
                <w:rFonts w:ascii="Tahoma" w:eastAsia="Times New Roman" w:hAnsi="Tahoma" w:cs="Tahoma"/>
                <w:color w:val="000000"/>
                <w:sz w:val="18"/>
                <w:szCs w:val="18"/>
                <w:lang w:eastAsia="es-MX"/>
              </w:rPr>
              <w:t>55,150,952.84</w:t>
            </w:r>
          </w:p>
        </w:tc>
      </w:tr>
      <w:tr w:rsidR="007528E7" w:rsidRPr="00E00F09" w:rsidTr="00542431">
        <w:trPr>
          <w:trHeight w:val="540"/>
        </w:trPr>
        <w:tc>
          <w:tcPr>
            <w:tcW w:w="1060" w:type="dxa"/>
            <w:tcBorders>
              <w:top w:val="nil"/>
              <w:left w:val="single" w:sz="4" w:space="0" w:color="BFBFBF"/>
              <w:bottom w:val="single" w:sz="4" w:space="0" w:color="BFBFBF"/>
              <w:right w:val="single" w:sz="4" w:space="0" w:color="BFBFBF"/>
            </w:tcBorders>
            <w:shd w:val="clear" w:color="auto" w:fill="auto"/>
            <w:noWrap/>
            <w:vAlign w:val="center"/>
            <w:hideMark/>
          </w:tcPr>
          <w:p w:rsidR="007528E7" w:rsidRPr="00E00F09" w:rsidRDefault="007528E7" w:rsidP="00542431">
            <w:pPr>
              <w:spacing w:after="0" w:line="240" w:lineRule="auto"/>
              <w:jc w:val="right"/>
              <w:rPr>
                <w:rFonts w:ascii="Tahoma" w:eastAsia="Times New Roman" w:hAnsi="Tahoma" w:cs="Tahoma"/>
                <w:color w:val="000000"/>
                <w:sz w:val="18"/>
                <w:szCs w:val="18"/>
                <w:lang w:eastAsia="es-MX"/>
              </w:rPr>
            </w:pPr>
            <w:r w:rsidRPr="00E00F09">
              <w:rPr>
                <w:rFonts w:ascii="Tahoma" w:eastAsia="Times New Roman" w:hAnsi="Tahoma" w:cs="Tahoma"/>
                <w:color w:val="000000"/>
                <w:sz w:val="18"/>
                <w:szCs w:val="18"/>
                <w:lang w:eastAsia="es-MX"/>
              </w:rPr>
              <w:t>312111003</w:t>
            </w:r>
          </w:p>
        </w:tc>
        <w:tc>
          <w:tcPr>
            <w:tcW w:w="3560" w:type="dxa"/>
            <w:tcBorders>
              <w:top w:val="nil"/>
              <w:left w:val="nil"/>
              <w:bottom w:val="single" w:sz="4" w:space="0" w:color="BFBFBF"/>
              <w:right w:val="single" w:sz="4" w:space="0" w:color="BFBFBF"/>
            </w:tcBorders>
            <w:shd w:val="clear" w:color="auto" w:fill="auto"/>
            <w:noWrap/>
            <w:vAlign w:val="center"/>
            <w:hideMark/>
          </w:tcPr>
          <w:p w:rsidR="007528E7" w:rsidRPr="00E00F09" w:rsidRDefault="007528E7" w:rsidP="00542431">
            <w:pPr>
              <w:spacing w:after="0" w:line="240" w:lineRule="auto"/>
              <w:rPr>
                <w:rFonts w:eastAsia="Times New Roman" w:cs="Calibri"/>
                <w:b/>
                <w:bCs/>
                <w:color w:val="000000"/>
                <w:lang w:eastAsia="es-MX"/>
              </w:rPr>
            </w:pPr>
            <w:r w:rsidRPr="00E00F09">
              <w:rPr>
                <w:rFonts w:eastAsia="Times New Roman" w:cs="Calibri"/>
                <w:b/>
                <w:bCs/>
                <w:color w:val="000000"/>
                <w:lang w:eastAsia="es-MX"/>
              </w:rPr>
              <w:t>DONACION POR FUSION</w:t>
            </w:r>
          </w:p>
        </w:tc>
        <w:tc>
          <w:tcPr>
            <w:tcW w:w="1900" w:type="dxa"/>
            <w:tcBorders>
              <w:top w:val="nil"/>
              <w:left w:val="nil"/>
              <w:bottom w:val="single" w:sz="4" w:space="0" w:color="BFBFBF"/>
              <w:right w:val="single" w:sz="4" w:space="0" w:color="BFBFBF"/>
            </w:tcBorders>
            <w:shd w:val="clear" w:color="auto" w:fill="auto"/>
            <w:noWrap/>
            <w:vAlign w:val="center"/>
            <w:hideMark/>
          </w:tcPr>
          <w:p w:rsidR="007528E7" w:rsidRPr="00E00F09" w:rsidRDefault="007528E7" w:rsidP="00542431">
            <w:pPr>
              <w:spacing w:after="0" w:line="240" w:lineRule="auto"/>
              <w:rPr>
                <w:rFonts w:ascii="Tahoma" w:eastAsia="Times New Roman" w:hAnsi="Tahoma" w:cs="Tahoma"/>
                <w:b/>
                <w:bCs/>
                <w:color w:val="000000"/>
                <w:sz w:val="18"/>
                <w:szCs w:val="18"/>
                <w:lang w:eastAsia="es-MX"/>
              </w:rPr>
            </w:pPr>
            <w:r w:rsidRPr="00E00F09">
              <w:rPr>
                <w:rFonts w:ascii="Tahoma" w:eastAsia="Times New Roman" w:hAnsi="Tahoma" w:cs="Tahoma"/>
                <w:b/>
                <w:bCs/>
                <w:color w:val="000000"/>
                <w:sz w:val="18"/>
                <w:szCs w:val="18"/>
                <w:lang w:eastAsia="es-MX"/>
              </w:rPr>
              <w:t xml:space="preserve"> $ </w:t>
            </w:r>
            <w:r>
              <w:rPr>
                <w:rFonts w:ascii="Tahoma" w:eastAsia="Times New Roman" w:hAnsi="Tahoma" w:cs="Tahoma"/>
                <w:b/>
                <w:bCs/>
                <w:color w:val="000000"/>
                <w:sz w:val="18"/>
                <w:szCs w:val="18"/>
                <w:lang w:eastAsia="es-MX"/>
              </w:rPr>
              <w:t>55</w:t>
            </w:r>
            <w:r w:rsidRPr="00E00F0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150</w:t>
            </w:r>
            <w:r w:rsidRPr="00E00F09">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952.</w:t>
            </w:r>
            <w:r w:rsidRPr="00E00F09">
              <w:rPr>
                <w:rFonts w:ascii="Tahoma" w:eastAsia="Times New Roman" w:hAnsi="Tahoma" w:cs="Tahoma"/>
                <w:b/>
                <w:bCs/>
                <w:color w:val="000000"/>
                <w:sz w:val="18"/>
                <w:szCs w:val="18"/>
                <w:lang w:eastAsia="es-MX"/>
              </w:rPr>
              <w:t>8</w:t>
            </w:r>
            <w:r>
              <w:rPr>
                <w:rFonts w:ascii="Tahoma" w:eastAsia="Times New Roman" w:hAnsi="Tahoma" w:cs="Tahoma"/>
                <w:b/>
                <w:bCs/>
                <w:color w:val="000000"/>
                <w:sz w:val="18"/>
                <w:szCs w:val="18"/>
                <w:lang w:eastAsia="es-MX"/>
              </w:rPr>
              <w:t>4</w:t>
            </w:r>
            <w:r w:rsidRPr="00E00F09">
              <w:rPr>
                <w:rFonts w:ascii="Tahoma" w:eastAsia="Times New Roman" w:hAnsi="Tahoma" w:cs="Tahoma"/>
                <w:b/>
                <w:bCs/>
                <w:color w:val="000000"/>
                <w:sz w:val="18"/>
                <w:szCs w:val="18"/>
                <w:lang w:eastAsia="es-MX"/>
              </w:rPr>
              <w:t xml:space="preserve"> </w:t>
            </w:r>
          </w:p>
        </w:tc>
      </w:tr>
    </w:tbl>
    <w:p w:rsidR="007528E7" w:rsidRDefault="007528E7" w:rsidP="00120122">
      <w:pPr>
        <w:spacing w:after="0" w:line="240" w:lineRule="auto"/>
        <w:jc w:val="both"/>
        <w:rPr>
          <w:rFonts w:ascii="Times New Roman" w:hAnsi="Times New Roman"/>
          <w:sz w:val="24"/>
          <w:szCs w:val="24"/>
        </w:rPr>
      </w:pPr>
    </w:p>
    <w:p w:rsidR="00350195" w:rsidRDefault="00350195" w:rsidP="00120122">
      <w:pPr>
        <w:spacing w:after="0" w:line="240" w:lineRule="auto"/>
        <w:jc w:val="both"/>
        <w:rPr>
          <w:rFonts w:ascii="Times New Roman" w:hAnsi="Times New Roman"/>
          <w:sz w:val="24"/>
          <w:szCs w:val="24"/>
        </w:rPr>
      </w:pPr>
    </w:p>
    <w:p w:rsidR="00120122" w:rsidRDefault="007528E7" w:rsidP="00120122">
      <w:pPr>
        <w:spacing w:after="0" w:line="240" w:lineRule="auto"/>
        <w:jc w:val="both"/>
        <w:rPr>
          <w:rFonts w:ascii="Times New Roman" w:hAnsi="Times New Roman"/>
          <w:sz w:val="24"/>
          <w:szCs w:val="24"/>
        </w:rPr>
      </w:pPr>
      <w:r>
        <w:rPr>
          <w:rFonts w:ascii="Times New Roman" w:hAnsi="Times New Roman"/>
          <w:sz w:val="24"/>
          <w:szCs w:val="24"/>
        </w:rPr>
        <w:t>L</w:t>
      </w:r>
      <w:r w:rsidR="00120122">
        <w:rPr>
          <w:rFonts w:ascii="Times New Roman" w:hAnsi="Times New Roman"/>
          <w:sz w:val="24"/>
          <w:szCs w:val="24"/>
        </w:rPr>
        <w:t xml:space="preserve">a </w:t>
      </w:r>
      <w:r w:rsidR="00350195">
        <w:rPr>
          <w:rFonts w:ascii="Times New Roman" w:hAnsi="Times New Roman"/>
          <w:sz w:val="24"/>
          <w:szCs w:val="24"/>
        </w:rPr>
        <w:t>nueva estructura organizacional en la estructura contable</w:t>
      </w:r>
      <w:r>
        <w:rPr>
          <w:rFonts w:ascii="Times New Roman" w:hAnsi="Times New Roman"/>
          <w:sz w:val="24"/>
          <w:szCs w:val="24"/>
        </w:rPr>
        <w:t xml:space="preserve"> se </w:t>
      </w:r>
      <w:r w:rsidR="0042496E">
        <w:rPr>
          <w:rFonts w:ascii="Times New Roman" w:hAnsi="Times New Roman"/>
          <w:sz w:val="24"/>
          <w:szCs w:val="24"/>
        </w:rPr>
        <w:t>aplicara</w:t>
      </w:r>
      <w:bookmarkStart w:id="0" w:name="_GoBack"/>
      <w:bookmarkEnd w:id="0"/>
      <w:r>
        <w:rPr>
          <w:rFonts w:ascii="Times New Roman" w:hAnsi="Times New Roman"/>
          <w:sz w:val="24"/>
          <w:szCs w:val="24"/>
        </w:rPr>
        <w:t xml:space="preserve"> a partir del 1 de enero de 2021</w:t>
      </w:r>
    </w:p>
    <w:p w:rsidR="007D1E76" w:rsidRPr="000B7810" w:rsidRDefault="007D1E76" w:rsidP="00120122">
      <w:pPr>
        <w:spacing w:after="0" w:line="240" w:lineRule="auto"/>
        <w:jc w:val="both"/>
        <w:rPr>
          <w:rFonts w:ascii="Times New Roman" w:hAnsi="Times New Roman"/>
          <w:sz w:val="24"/>
          <w:szCs w:val="24"/>
        </w:rPr>
      </w:pP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16. Partes Relacionadas: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debe establecer por escrito que no existen partes relacionadas que pudieran ejercer influencia significativa sobre la toma de decisiones financieras y operativas:</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7D1E76" w:rsidRPr="000B7810" w:rsidRDefault="007D1E76" w:rsidP="007D1E76">
      <w:pPr>
        <w:spacing w:after="0" w:line="240" w:lineRule="auto"/>
        <w:jc w:val="both"/>
        <w:rPr>
          <w:rFonts w:ascii="Times New Roman" w:hAnsi="Times New Roman"/>
          <w:b/>
          <w:sz w:val="24"/>
          <w:szCs w:val="24"/>
        </w:rPr>
      </w:pPr>
    </w:p>
    <w:p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17. Responsabilidad sobre la presentación razonable de los Estados Financieros:</w:t>
      </w:r>
      <w:r w:rsidRPr="000B7810">
        <w:rPr>
          <w:rFonts w:ascii="Times New Roman" w:hAnsi="Times New Roman"/>
          <w:b/>
          <w:sz w:val="24"/>
          <w:szCs w:val="24"/>
        </w:rPr>
        <w:tab/>
      </w:r>
      <w:r w:rsidRPr="000B7810">
        <w:rPr>
          <w:rFonts w:ascii="Times New Roman" w:hAnsi="Times New Roman"/>
          <w:b/>
          <w:sz w:val="24"/>
          <w:szCs w:val="24"/>
        </w:rPr>
        <w:tab/>
      </w:r>
    </w:p>
    <w:p w:rsidR="007D1E76" w:rsidRPr="000B7810" w:rsidRDefault="007D1E76" w:rsidP="007D1E76">
      <w:pPr>
        <w:spacing w:after="0" w:line="240" w:lineRule="auto"/>
        <w:jc w:val="both"/>
        <w:rPr>
          <w:rFonts w:ascii="Times New Roman" w:hAnsi="Times New Roman"/>
          <w:sz w:val="24"/>
          <w:szCs w:val="24"/>
        </w:rPr>
      </w:pPr>
    </w:p>
    <w:p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sidR="005C6118">
        <w:rPr>
          <w:rFonts w:ascii="Times New Roman" w:hAnsi="Times New Roman"/>
          <w:sz w:val="24"/>
          <w:szCs w:val="24"/>
        </w:rPr>
        <w:t>”</w:t>
      </w:r>
      <w:r w:rsidRPr="000B7810">
        <w:rPr>
          <w:rFonts w:ascii="Times New Roman" w:hAnsi="Times New Roman"/>
          <w:sz w:val="24"/>
          <w:szCs w:val="24"/>
        </w:rPr>
        <w:t>.</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rsidR="005337B9" w:rsidRPr="000B7810" w:rsidRDefault="005337B9" w:rsidP="007D1E76">
      <w:pPr>
        <w:spacing w:after="0" w:line="240" w:lineRule="auto"/>
        <w:jc w:val="both"/>
        <w:rPr>
          <w:rFonts w:ascii="Times New Roman" w:hAnsi="Times New Roman"/>
          <w:sz w:val="24"/>
          <w:szCs w:val="24"/>
        </w:rPr>
      </w:pPr>
    </w:p>
    <w:p w:rsidR="007D1E76" w:rsidRPr="000B7810" w:rsidRDefault="007D1E76" w:rsidP="007D1E76">
      <w:pPr>
        <w:jc w:val="both"/>
        <w:rPr>
          <w:rFonts w:ascii="Times New Roman" w:hAnsi="Times New Roman"/>
          <w:b/>
          <w:sz w:val="24"/>
          <w:szCs w:val="24"/>
        </w:rPr>
      </w:pPr>
      <w:r w:rsidRPr="000B7810">
        <w:rPr>
          <w:rFonts w:ascii="Times New Roman" w:hAnsi="Times New Roman"/>
          <w:b/>
          <w:sz w:val="24"/>
          <w:szCs w:val="24"/>
        </w:rPr>
        <w:t>Recomendaciones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rsidR="00681C79" w:rsidRPr="000B7810" w:rsidRDefault="007D1E76" w:rsidP="005337B9">
      <w:pPr>
        <w:jc w:val="both"/>
        <w:rPr>
          <w:rFonts w:ascii="Times New Roman" w:hAnsi="Times New Roman"/>
          <w:sz w:val="24"/>
          <w:szCs w:val="24"/>
        </w:rPr>
      </w:pPr>
      <w:r w:rsidRPr="000B7810">
        <w:rPr>
          <w:rFonts w:ascii="Times New Roman" w:hAnsi="Times New Roman"/>
          <w:b/>
          <w:sz w:val="24"/>
          <w:szCs w:val="24"/>
        </w:rPr>
        <w:t>Nota 1: Las notas de Gestión Administrativa sólo se presentarán en medio magnético, las notas que no estén contempladas en el formato se agregarán libremente al mismo.</w:t>
      </w:r>
    </w:p>
    <w:sectPr w:rsidR="00681C79" w:rsidRPr="000B7810" w:rsidSect="007D1E76">
      <w:headerReference w:type="default" r:id="rId10"/>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34C" w:rsidRDefault="0085734C" w:rsidP="00C055DA">
      <w:pPr>
        <w:spacing w:after="0" w:line="240" w:lineRule="auto"/>
      </w:pPr>
      <w:r>
        <w:separator/>
      </w:r>
    </w:p>
  </w:endnote>
  <w:endnote w:type="continuationSeparator" w:id="0">
    <w:p w:rsidR="0085734C" w:rsidRDefault="0085734C" w:rsidP="00C0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34C" w:rsidRDefault="0085734C" w:rsidP="00C055DA">
      <w:pPr>
        <w:spacing w:after="0" w:line="240" w:lineRule="auto"/>
      </w:pPr>
      <w:r>
        <w:separator/>
      </w:r>
    </w:p>
  </w:footnote>
  <w:footnote w:type="continuationSeparator" w:id="0">
    <w:p w:rsidR="0085734C" w:rsidRDefault="0085734C" w:rsidP="00C05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5DA" w:rsidRDefault="00C055DA" w:rsidP="00C055DA">
    <w:pPr>
      <w:pStyle w:val="Encabezado"/>
      <w:jc w:val="center"/>
    </w:pPr>
    <w:r>
      <w:t>Sistema de Agua Potable y Alcantarillado de León</w:t>
    </w:r>
  </w:p>
  <w:p w:rsidR="00C055DA" w:rsidRDefault="00C055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207F"/>
    <w:rsid w:val="00075DA1"/>
    <w:rsid w:val="00095ED3"/>
    <w:rsid w:val="000B7810"/>
    <w:rsid w:val="00120122"/>
    <w:rsid w:val="00135C66"/>
    <w:rsid w:val="00136619"/>
    <w:rsid w:val="001463C7"/>
    <w:rsid w:val="00154D56"/>
    <w:rsid w:val="001C0543"/>
    <w:rsid w:val="001C5D11"/>
    <w:rsid w:val="001F7278"/>
    <w:rsid w:val="002163F1"/>
    <w:rsid w:val="00257C8E"/>
    <w:rsid w:val="00275638"/>
    <w:rsid w:val="002925FD"/>
    <w:rsid w:val="002B1B8F"/>
    <w:rsid w:val="002F1538"/>
    <w:rsid w:val="002F7166"/>
    <w:rsid w:val="00306EA9"/>
    <w:rsid w:val="00350195"/>
    <w:rsid w:val="00376DBF"/>
    <w:rsid w:val="0042496E"/>
    <w:rsid w:val="00424E92"/>
    <w:rsid w:val="00435A02"/>
    <w:rsid w:val="00436757"/>
    <w:rsid w:val="0046006F"/>
    <w:rsid w:val="004A0B43"/>
    <w:rsid w:val="005337B9"/>
    <w:rsid w:val="00543325"/>
    <w:rsid w:val="0058086D"/>
    <w:rsid w:val="005A45E8"/>
    <w:rsid w:val="005B42D8"/>
    <w:rsid w:val="005C6118"/>
    <w:rsid w:val="00681C79"/>
    <w:rsid w:val="00692C9C"/>
    <w:rsid w:val="006B04D8"/>
    <w:rsid w:val="006E48BA"/>
    <w:rsid w:val="006E643A"/>
    <w:rsid w:val="00712DC0"/>
    <w:rsid w:val="0074417A"/>
    <w:rsid w:val="007528E7"/>
    <w:rsid w:val="007D1E76"/>
    <w:rsid w:val="007E5ACE"/>
    <w:rsid w:val="0082147F"/>
    <w:rsid w:val="0085358A"/>
    <w:rsid w:val="0085734C"/>
    <w:rsid w:val="008E076C"/>
    <w:rsid w:val="008E3E1E"/>
    <w:rsid w:val="00936D82"/>
    <w:rsid w:val="009563F8"/>
    <w:rsid w:val="00960D1E"/>
    <w:rsid w:val="00A76F7C"/>
    <w:rsid w:val="00A77279"/>
    <w:rsid w:val="00AB07A5"/>
    <w:rsid w:val="00AF25A7"/>
    <w:rsid w:val="00B65B4A"/>
    <w:rsid w:val="00B71D20"/>
    <w:rsid w:val="00B74324"/>
    <w:rsid w:val="00B830F9"/>
    <w:rsid w:val="00BE0634"/>
    <w:rsid w:val="00C055DA"/>
    <w:rsid w:val="00C12813"/>
    <w:rsid w:val="00CA4AB2"/>
    <w:rsid w:val="00CC45CE"/>
    <w:rsid w:val="00D337C6"/>
    <w:rsid w:val="00D52F55"/>
    <w:rsid w:val="00DB2AA9"/>
    <w:rsid w:val="00DF22A6"/>
    <w:rsid w:val="00E05F3A"/>
    <w:rsid w:val="00E6311B"/>
    <w:rsid w:val="00E7528B"/>
    <w:rsid w:val="00EB3993"/>
    <w:rsid w:val="00EC50AB"/>
    <w:rsid w:val="00ED0980"/>
    <w:rsid w:val="00ED247F"/>
    <w:rsid w:val="00F05BD1"/>
    <w:rsid w:val="00F10DA4"/>
    <w:rsid w:val="00F305C1"/>
    <w:rsid w:val="00F36A7C"/>
    <w:rsid w:val="00F838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970B3"/>
  <w15:chartTrackingRefBased/>
  <w15:docId w15:val="{DB670E4D-4719-422A-8191-53DB3C96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C055DA"/>
    <w:pPr>
      <w:tabs>
        <w:tab w:val="center" w:pos="4419"/>
        <w:tab w:val="right" w:pos="8838"/>
      </w:tabs>
    </w:pPr>
  </w:style>
  <w:style w:type="character" w:customStyle="1" w:styleId="EncabezadoCar">
    <w:name w:val="Encabezado Car"/>
    <w:link w:val="Encabezado"/>
    <w:uiPriority w:val="99"/>
    <w:rsid w:val="00C055DA"/>
    <w:rPr>
      <w:sz w:val="22"/>
      <w:szCs w:val="22"/>
      <w:lang w:eastAsia="en-US"/>
    </w:rPr>
  </w:style>
  <w:style w:type="paragraph" w:styleId="Piedepgina">
    <w:name w:val="footer"/>
    <w:basedOn w:val="Normal"/>
    <w:link w:val="PiedepginaCar"/>
    <w:uiPriority w:val="99"/>
    <w:unhideWhenUsed/>
    <w:rsid w:val="00C055DA"/>
    <w:pPr>
      <w:tabs>
        <w:tab w:val="center" w:pos="4419"/>
        <w:tab w:val="right" w:pos="8838"/>
      </w:tabs>
    </w:pPr>
  </w:style>
  <w:style w:type="character" w:customStyle="1" w:styleId="PiedepginaCar">
    <w:name w:val="Pie de página Car"/>
    <w:link w:val="Piedepgina"/>
    <w:uiPriority w:val="99"/>
    <w:rsid w:val="00C055DA"/>
    <w:rPr>
      <w:sz w:val="22"/>
      <w:szCs w:val="22"/>
      <w:lang w:eastAsia="en-US"/>
    </w:rPr>
  </w:style>
  <w:style w:type="paragraph" w:styleId="Textodeglobo">
    <w:name w:val="Balloon Text"/>
    <w:basedOn w:val="Normal"/>
    <w:link w:val="TextodegloboCar"/>
    <w:uiPriority w:val="99"/>
    <w:semiHidden/>
    <w:unhideWhenUsed/>
    <w:rsid w:val="00C055D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055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78444">
      <w:bodyDiv w:val="1"/>
      <w:marLeft w:val="0"/>
      <w:marRight w:val="0"/>
      <w:marTop w:val="0"/>
      <w:marBottom w:val="0"/>
      <w:divBdr>
        <w:top w:val="none" w:sz="0" w:space="0" w:color="auto"/>
        <w:left w:val="none" w:sz="0" w:space="0" w:color="auto"/>
        <w:bottom w:val="none" w:sz="0" w:space="0" w:color="auto"/>
        <w:right w:val="none" w:sz="0" w:space="0" w:color="auto"/>
      </w:divBdr>
    </w:div>
    <w:div w:id="12081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hernandez\Documents\Luis\AppData\Local\Microsoft\Windows\AppData\lquiroz\AppData\Local\Microsoft\Windows\Temporary%20Internet%20Files\Content.Outlook\HBGSO9P3\MODELO%20CTA%202013.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373F7-8DCE-4092-8208-48E12BAE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4716</Words>
  <Characters>25939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30594</CharactersWithSpaces>
  <SharedDoc>false</SharedDoc>
  <HLinks>
    <vt:vector size="6" baseType="variant">
      <vt:variant>
        <vt:i4>6881378</vt:i4>
      </vt:variant>
      <vt:variant>
        <vt:i4>0</vt:i4>
      </vt:variant>
      <vt:variant>
        <vt:i4>0</vt:i4>
      </vt:variant>
      <vt:variant>
        <vt:i4>5</vt:i4>
      </vt:variant>
      <vt:variant>
        <vt:lpwstr>../../../AppData/Local/Microsoft/Windows/AppData/lquiroz/AppData/Local/Microsoft/Windows/Temporary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Luis Antonio Hernández</cp:lastModifiedBy>
  <cp:revision>2</cp:revision>
  <dcterms:created xsi:type="dcterms:W3CDTF">2021-01-27T18:38:00Z</dcterms:created>
  <dcterms:modified xsi:type="dcterms:W3CDTF">2021-01-27T18:38:00Z</dcterms:modified>
</cp:coreProperties>
</file>